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7A80FDE-07CC-4279-9095-520AB5AD041E" style="width:450.75pt;height:366pt">
            <v:imagedata r:id="rId11" o:title=""/>
          </v:shape>
        </w:pict>
      </w:r>
    </w:p>
    <w:bookmarkEnd w:id="0"/>
    <w:p>
      <w:pPr>
        <w:rPr>
          <w:noProof/>
          <w:lang w:val="fr-BE"/>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PRILOG 1.</w:t>
      </w:r>
    </w:p>
    <w:p>
      <w:pPr>
        <w:spacing w:after="240"/>
        <w:jc w:val="center"/>
        <w:rPr>
          <w:b/>
          <w:noProof/>
        </w:rPr>
      </w:pPr>
      <w:r>
        <w:rPr>
          <w:b/>
          <w:noProof/>
        </w:rPr>
        <w:t>Broj mišljenja koja je Komisija zaprimila 2017. prema nacionalnom parlamentu/domu (politički dijalog i mehanizam kontrole poštovanja načela supsidijarnosti)</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2"/>
                <w:szCs w:val="22"/>
              </w:rPr>
            </w:pPr>
            <w:r>
              <w:rPr>
                <w:b/>
                <w:bCs/>
                <w:noProof/>
                <w:color w:val="000000"/>
                <w:sz w:val="22"/>
                <w:szCs w:val="22"/>
              </w:rPr>
              <w:t>Država članica</w:t>
            </w:r>
          </w:p>
        </w:tc>
        <w:tc>
          <w:tcPr>
            <w:tcW w:w="3609" w:type="dxa"/>
            <w:shd w:val="clear" w:color="auto" w:fill="auto"/>
            <w:vAlign w:val="center"/>
          </w:tcPr>
          <w:p>
            <w:pPr>
              <w:spacing w:before="60" w:after="60"/>
              <w:jc w:val="center"/>
              <w:rPr>
                <w:b/>
                <w:bCs/>
                <w:noProof/>
                <w:color w:val="000000"/>
                <w:sz w:val="22"/>
                <w:szCs w:val="22"/>
              </w:rPr>
            </w:pPr>
            <w:r>
              <w:rPr>
                <w:b/>
                <w:bCs/>
                <w:noProof/>
                <w:color w:val="000000"/>
                <w:sz w:val="22"/>
                <w:szCs w:val="22"/>
              </w:rPr>
              <w:t>Dom</w:t>
            </w:r>
          </w:p>
        </w:tc>
        <w:tc>
          <w:tcPr>
            <w:tcW w:w="1660" w:type="dxa"/>
            <w:shd w:val="clear" w:color="auto" w:fill="auto"/>
            <w:vAlign w:val="center"/>
          </w:tcPr>
          <w:p>
            <w:pPr>
              <w:spacing w:before="60" w:after="60"/>
              <w:jc w:val="center"/>
              <w:rPr>
                <w:b/>
                <w:bCs/>
                <w:noProof/>
                <w:color w:val="000000"/>
                <w:sz w:val="22"/>
                <w:szCs w:val="22"/>
              </w:rPr>
            </w:pPr>
            <w:r>
              <w:rPr>
                <w:b/>
                <w:bCs/>
                <w:noProof/>
                <w:color w:val="000000"/>
                <w:sz w:val="22"/>
                <w:szCs w:val="22"/>
              </w:rPr>
              <w:t>Ukupan</w:t>
            </w:r>
            <w:r>
              <w:rPr>
                <w:b/>
                <w:bCs/>
                <w:noProof/>
                <w:color w:val="000000"/>
                <w:sz w:val="22"/>
                <w:szCs w:val="22"/>
              </w:rPr>
              <w:br/>
              <w:t>broj</w:t>
            </w:r>
            <w:r>
              <w:rPr>
                <w:b/>
                <w:bCs/>
                <w:noProof/>
                <w:color w:val="000000"/>
                <w:sz w:val="22"/>
                <w:szCs w:val="22"/>
              </w:rPr>
              <w:br/>
            </w:r>
            <w:r>
              <w:rPr>
                <w:noProof/>
                <w:sz w:val="22"/>
                <w:szCs w:val="22"/>
              </w:rPr>
              <w:t>mišljenja</w:t>
            </w:r>
            <w:r>
              <w:rPr>
                <w:rStyle w:val="FootnoteReference"/>
                <w:noProof/>
                <w:sz w:val="22"/>
                <w:szCs w:val="22"/>
              </w:rPr>
              <w:footnoteReference w:id="1"/>
            </w:r>
          </w:p>
        </w:tc>
        <w:tc>
          <w:tcPr>
            <w:tcW w:w="2364" w:type="dxa"/>
            <w:shd w:val="clear" w:color="auto" w:fill="auto"/>
            <w:vAlign w:val="center"/>
          </w:tcPr>
          <w:p>
            <w:pPr>
              <w:spacing w:before="60" w:after="60"/>
              <w:jc w:val="center"/>
              <w:rPr>
                <w:b/>
                <w:bCs/>
                <w:noProof/>
                <w:color w:val="000000"/>
                <w:sz w:val="22"/>
                <w:szCs w:val="22"/>
              </w:rPr>
            </w:pPr>
            <w:r>
              <w:rPr>
                <w:b/>
                <w:bCs/>
                <w:noProof/>
                <w:color w:val="000000"/>
                <w:sz w:val="22"/>
                <w:szCs w:val="22"/>
              </w:rPr>
              <w:t>Broj</w:t>
            </w:r>
            <w:r>
              <w:rPr>
                <w:b/>
                <w:bCs/>
                <w:noProof/>
                <w:color w:val="000000"/>
                <w:sz w:val="22"/>
                <w:szCs w:val="22"/>
              </w:rPr>
              <w:br/>
              <w:t>obrazloženih</w:t>
            </w:r>
            <w:r>
              <w:rPr>
                <w:b/>
                <w:bCs/>
                <w:noProof/>
                <w:color w:val="000000"/>
                <w:sz w:val="22"/>
                <w:szCs w:val="22"/>
              </w:rPr>
              <w:br/>
              <w:t>mišljenja</w:t>
            </w:r>
            <w:r>
              <w:rPr>
                <w:b/>
                <w:bCs/>
                <w:noProof/>
                <w:color w:val="000000"/>
                <w:sz w:val="22"/>
                <w:szCs w:val="22"/>
              </w:rPr>
              <w:br/>
            </w:r>
            <w:r>
              <w:rPr>
                <w:noProof/>
                <w:sz w:val="22"/>
                <w:szCs w:val="22"/>
              </w:rPr>
              <w:t>(Protokol br. 2)</w:t>
            </w:r>
            <w:r>
              <w:rPr>
                <w:rStyle w:val="FootnoteReference"/>
                <w:noProof/>
                <w:sz w:val="22"/>
                <w:szCs w:val="22"/>
              </w:rPr>
              <w:footnoteReference w:id="2"/>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Portugal</w:t>
            </w:r>
          </w:p>
        </w:tc>
        <w:tc>
          <w:tcPr>
            <w:tcW w:w="3609" w:type="dxa"/>
            <w:shd w:val="clear" w:color="auto" w:fill="auto"/>
            <w:vAlign w:val="center"/>
          </w:tcPr>
          <w:p>
            <w:pPr>
              <w:jc w:val="center"/>
              <w:rPr>
                <w:i/>
                <w:iCs/>
                <w:noProof/>
                <w:color w:val="000000"/>
                <w:sz w:val="22"/>
                <w:szCs w:val="22"/>
              </w:rPr>
            </w:pPr>
            <w:r>
              <w:rPr>
                <w:i/>
                <w:iCs/>
                <w:noProof/>
                <w:color w:val="000000"/>
                <w:sz w:val="22"/>
                <w:szCs w:val="22"/>
              </w:rPr>
              <w:t>Assembleia da República</w:t>
            </w:r>
          </w:p>
        </w:tc>
        <w:tc>
          <w:tcPr>
            <w:tcW w:w="1660" w:type="dxa"/>
            <w:shd w:val="clear" w:color="auto" w:fill="auto"/>
            <w:vAlign w:val="center"/>
          </w:tcPr>
          <w:p>
            <w:pPr>
              <w:jc w:val="center"/>
              <w:rPr>
                <w:noProof/>
                <w:color w:val="000000"/>
                <w:sz w:val="22"/>
                <w:szCs w:val="22"/>
              </w:rPr>
            </w:pPr>
            <w:r>
              <w:rPr>
                <w:noProof/>
                <w:color w:val="000000"/>
                <w:sz w:val="22"/>
                <w:szCs w:val="22"/>
              </w:rPr>
              <w:t>64</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 xml:space="preserve">Italija </w:t>
            </w:r>
          </w:p>
        </w:tc>
        <w:tc>
          <w:tcPr>
            <w:tcW w:w="3609" w:type="dxa"/>
            <w:shd w:val="clear" w:color="auto" w:fill="auto"/>
            <w:vAlign w:val="center"/>
          </w:tcPr>
          <w:p>
            <w:pPr>
              <w:jc w:val="center"/>
              <w:rPr>
                <w:i/>
                <w:iCs/>
                <w:noProof/>
                <w:color w:val="000000"/>
                <w:sz w:val="22"/>
                <w:szCs w:val="22"/>
              </w:rPr>
            </w:pPr>
            <w:r>
              <w:rPr>
                <w:i/>
                <w:iCs/>
                <w:noProof/>
                <w:color w:val="000000"/>
                <w:sz w:val="22"/>
                <w:szCs w:val="22"/>
              </w:rPr>
              <w:t>Senato della Repubblica</w:t>
            </w:r>
          </w:p>
        </w:tc>
        <w:tc>
          <w:tcPr>
            <w:tcW w:w="1660" w:type="dxa"/>
            <w:shd w:val="clear" w:color="auto" w:fill="auto"/>
            <w:vAlign w:val="center"/>
          </w:tcPr>
          <w:p>
            <w:pPr>
              <w:jc w:val="center"/>
              <w:rPr>
                <w:noProof/>
                <w:color w:val="000000"/>
                <w:sz w:val="22"/>
                <w:szCs w:val="22"/>
              </w:rPr>
            </w:pPr>
            <w:r>
              <w:rPr>
                <w:noProof/>
                <w:color w:val="000000"/>
                <w:sz w:val="22"/>
                <w:szCs w:val="22"/>
              </w:rPr>
              <w:t>56</w:t>
            </w:r>
          </w:p>
        </w:tc>
        <w:tc>
          <w:tcPr>
            <w:tcW w:w="2364" w:type="dxa"/>
            <w:shd w:val="clear" w:color="auto" w:fill="auto"/>
            <w:vAlign w:val="center"/>
          </w:tcPr>
          <w:p>
            <w:pPr>
              <w:jc w:val="center"/>
              <w:rPr>
                <w:noProof/>
                <w:color w:val="000000"/>
                <w:sz w:val="22"/>
                <w:szCs w:val="22"/>
              </w:rPr>
            </w:pPr>
            <w:r>
              <w:rPr>
                <w:noProof/>
                <w:color w:val="000000"/>
                <w:sz w:val="22"/>
                <w:szCs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Češka</w:t>
            </w:r>
          </w:p>
        </w:tc>
        <w:tc>
          <w:tcPr>
            <w:tcW w:w="3609" w:type="dxa"/>
            <w:shd w:val="clear" w:color="auto" w:fill="auto"/>
            <w:vAlign w:val="center"/>
          </w:tcPr>
          <w:p>
            <w:pPr>
              <w:jc w:val="center"/>
              <w:rPr>
                <w:i/>
                <w:iCs/>
                <w:noProof/>
                <w:color w:val="000000"/>
                <w:sz w:val="22"/>
                <w:szCs w:val="22"/>
              </w:rPr>
            </w:pPr>
            <w:r>
              <w:rPr>
                <w:i/>
                <w:iCs/>
                <w:noProof/>
                <w:color w:val="000000"/>
                <w:sz w:val="22"/>
                <w:szCs w:val="22"/>
              </w:rPr>
              <w:t>Senát</w:t>
            </w:r>
          </w:p>
        </w:tc>
        <w:tc>
          <w:tcPr>
            <w:tcW w:w="1660" w:type="dxa"/>
            <w:shd w:val="clear" w:color="auto" w:fill="auto"/>
            <w:vAlign w:val="center"/>
          </w:tcPr>
          <w:p>
            <w:pPr>
              <w:jc w:val="center"/>
              <w:rPr>
                <w:noProof/>
                <w:color w:val="000000"/>
                <w:sz w:val="22"/>
                <w:szCs w:val="22"/>
              </w:rPr>
            </w:pPr>
            <w:r>
              <w:rPr>
                <w:noProof/>
                <w:color w:val="000000"/>
                <w:sz w:val="22"/>
                <w:szCs w:val="22"/>
              </w:rPr>
              <w:t>53</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Italija</w:t>
            </w:r>
          </w:p>
        </w:tc>
        <w:tc>
          <w:tcPr>
            <w:tcW w:w="3609" w:type="dxa"/>
            <w:shd w:val="clear" w:color="auto" w:fill="auto"/>
            <w:vAlign w:val="center"/>
          </w:tcPr>
          <w:p>
            <w:pPr>
              <w:jc w:val="center"/>
              <w:rPr>
                <w:i/>
                <w:iCs/>
                <w:noProof/>
                <w:color w:val="000000"/>
                <w:sz w:val="22"/>
                <w:szCs w:val="22"/>
              </w:rPr>
            </w:pPr>
            <w:r>
              <w:rPr>
                <w:i/>
                <w:iCs/>
                <w:noProof/>
                <w:color w:val="000000"/>
                <w:sz w:val="22"/>
                <w:szCs w:val="22"/>
              </w:rPr>
              <w:t>Camera dei Deputati</w:t>
            </w:r>
          </w:p>
        </w:tc>
        <w:tc>
          <w:tcPr>
            <w:tcW w:w="1660" w:type="dxa"/>
            <w:shd w:val="clear" w:color="auto" w:fill="auto"/>
            <w:vAlign w:val="center"/>
          </w:tcPr>
          <w:p>
            <w:pPr>
              <w:jc w:val="center"/>
              <w:rPr>
                <w:noProof/>
                <w:color w:val="000000"/>
                <w:sz w:val="22"/>
                <w:szCs w:val="22"/>
              </w:rPr>
            </w:pPr>
            <w:r>
              <w:rPr>
                <w:noProof/>
                <w:color w:val="000000"/>
                <w:sz w:val="22"/>
                <w:szCs w:val="22"/>
              </w:rPr>
              <w:t>45</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Njemačka</w:t>
            </w:r>
          </w:p>
        </w:tc>
        <w:tc>
          <w:tcPr>
            <w:tcW w:w="3609" w:type="dxa"/>
            <w:shd w:val="clear" w:color="auto" w:fill="auto"/>
            <w:vAlign w:val="center"/>
          </w:tcPr>
          <w:p>
            <w:pPr>
              <w:jc w:val="center"/>
              <w:rPr>
                <w:i/>
                <w:iCs/>
                <w:noProof/>
                <w:color w:val="000000"/>
                <w:sz w:val="22"/>
                <w:szCs w:val="22"/>
              </w:rPr>
            </w:pPr>
            <w:r>
              <w:rPr>
                <w:i/>
                <w:iCs/>
                <w:noProof/>
                <w:color w:val="000000"/>
                <w:sz w:val="22"/>
                <w:szCs w:val="22"/>
              </w:rPr>
              <w:t>Bundesrat</w:t>
            </w:r>
          </w:p>
        </w:tc>
        <w:tc>
          <w:tcPr>
            <w:tcW w:w="1660" w:type="dxa"/>
            <w:shd w:val="clear" w:color="auto" w:fill="auto"/>
            <w:vAlign w:val="center"/>
          </w:tcPr>
          <w:p>
            <w:pPr>
              <w:jc w:val="center"/>
              <w:rPr>
                <w:noProof/>
                <w:color w:val="000000"/>
                <w:sz w:val="22"/>
                <w:szCs w:val="22"/>
              </w:rPr>
            </w:pPr>
            <w:r>
              <w:rPr>
                <w:noProof/>
                <w:color w:val="000000"/>
                <w:sz w:val="22"/>
                <w:szCs w:val="22"/>
              </w:rPr>
              <w:t>43</w:t>
            </w:r>
          </w:p>
        </w:tc>
        <w:tc>
          <w:tcPr>
            <w:tcW w:w="2364" w:type="dxa"/>
            <w:shd w:val="clear" w:color="auto" w:fill="auto"/>
            <w:vAlign w:val="center"/>
          </w:tcPr>
          <w:p>
            <w:pPr>
              <w:jc w:val="center"/>
              <w:rPr>
                <w:noProof/>
                <w:color w:val="000000"/>
                <w:sz w:val="22"/>
                <w:szCs w:val="22"/>
              </w:rPr>
            </w:pPr>
            <w:r>
              <w:rPr>
                <w:noProof/>
                <w:color w:val="000000"/>
                <w:sz w:val="22"/>
                <w:szCs w:val="22"/>
              </w:rPr>
              <w:t>3</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Rumunjska</w:t>
            </w:r>
          </w:p>
        </w:tc>
        <w:tc>
          <w:tcPr>
            <w:tcW w:w="3609" w:type="dxa"/>
            <w:shd w:val="clear" w:color="auto" w:fill="auto"/>
            <w:vAlign w:val="center"/>
          </w:tcPr>
          <w:p>
            <w:pPr>
              <w:jc w:val="center"/>
              <w:rPr>
                <w:i/>
                <w:iCs/>
                <w:noProof/>
                <w:color w:val="000000"/>
                <w:sz w:val="22"/>
                <w:szCs w:val="22"/>
              </w:rPr>
            </w:pPr>
            <w:r>
              <w:rPr>
                <w:i/>
                <w:iCs/>
                <w:noProof/>
                <w:color w:val="000000"/>
                <w:sz w:val="22"/>
                <w:szCs w:val="22"/>
              </w:rPr>
              <w:t>Camera Deputaţilor</w:t>
            </w:r>
          </w:p>
        </w:tc>
        <w:tc>
          <w:tcPr>
            <w:tcW w:w="1660" w:type="dxa"/>
            <w:shd w:val="clear" w:color="auto" w:fill="auto"/>
            <w:vAlign w:val="center"/>
          </w:tcPr>
          <w:p>
            <w:pPr>
              <w:jc w:val="center"/>
              <w:rPr>
                <w:noProof/>
                <w:color w:val="000000"/>
                <w:sz w:val="22"/>
                <w:szCs w:val="22"/>
              </w:rPr>
            </w:pPr>
            <w:r>
              <w:rPr>
                <w:noProof/>
                <w:color w:val="000000"/>
                <w:sz w:val="22"/>
                <w:szCs w:val="22"/>
              </w:rPr>
              <w:t>41</w:t>
            </w:r>
          </w:p>
        </w:tc>
        <w:tc>
          <w:tcPr>
            <w:tcW w:w="2364" w:type="dxa"/>
            <w:shd w:val="clear" w:color="auto" w:fill="auto"/>
            <w:vAlign w:val="center"/>
          </w:tcPr>
          <w:p>
            <w:pPr>
              <w:jc w:val="center"/>
              <w:rPr>
                <w:noProof/>
                <w:color w:val="000000"/>
                <w:sz w:val="22"/>
                <w:szCs w:val="22"/>
              </w:rPr>
            </w:pPr>
            <w:r>
              <w:rPr>
                <w:noProof/>
                <w:color w:val="000000"/>
                <w:sz w:val="22"/>
                <w:szCs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Španjolska</w:t>
            </w:r>
          </w:p>
        </w:tc>
        <w:tc>
          <w:tcPr>
            <w:tcW w:w="3609" w:type="dxa"/>
            <w:shd w:val="clear" w:color="auto" w:fill="auto"/>
            <w:vAlign w:val="center"/>
          </w:tcPr>
          <w:p>
            <w:pPr>
              <w:jc w:val="center"/>
              <w:rPr>
                <w:noProof/>
                <w:color w:val="000000"/>
                <w:sz w:val="22"/>
                <w:szCs w:val="22"/>
              </w:rPr>
            </w:pPr>
            <w:r>
              <w:rPr>
                <w:i/>
                <w:iCs/>
                <w:noProof/>
                <w:color w:val="000000"/>
                <w:sz w:val="22"/>
                <w:szCs w:val="22"/>
              </w:rPr>
              <w:t>Las Cortes Generales:</w:t>
            </w:r>
            <w:r>
              <w:rPr>
                <w:noProof/>
                <w:color w:val="000000"/>
                <w:sz w:val="22"/>
                <w:szCs w:val="22"/>
              </w:rPr>
              <w:br/>
            </w:r>
            <w:r>
              <w:rPr>
                <w:i/>
                <w:noProof/>
                <w:color w:val="000000"/>
                <w:sz w:val="22"/>
                <w:szCs w:val="22"/>
              </w:rPr>
              <w:t>Senado de España</w:t>
            </w:r>
            <w:r>
              <w:rPr>
                <w:noProof/>
                <w:color w:val="000000"/>
                <w:sz w:val="22"/>
                <w:szCs w:val="22"/>
              </w:rPr>
              <w:t xml:space="preserve"> i</w:t>
            </w:r>
            <w:r>
              <w:rPr>
                <w:noProof/>
                <w:color w:val="000000"/>
                <w:sz w:val="22"/>
                <w:szCs w:val="22"/>
              </w:rPr>
              <w:br/>
            </w:r>
            <w:r>
              <w:rPr>
                <w:i/>
                <w:iCs/>
                <w:noProof/>
                <w:color w:val="000000"/>
                <w:sz w:val="22"/>
                <w:szCs w:val="22"/>
              </w:rPr>
              <w:t>Congreso de los Diputados</w:t>
            </w:r>
          </w:p>
        </w:tc>
        <w:tc>
          <w:tcPr>
            <w:tcW w:w="1660" w:type="dxa"/>
            <w:shd w:val="clear" w:color="auto" w:fill="auto"/>
            <w:vAlign w:val="center"/>
          </w:tcPr>
          <w:p>
            <w:pPr>
              <w:jc w:val="center"/>
              <w:rPr>
                <w:noProof/>
                <w:color w:val="000000"/>
                <w:sz w:val="22"/>
                <w:szCs w:val="22"/>
              </w:rPr>
            </w:pPr>
            <w:r>
              <w:rPr>
                <w:noProof/>
                <w:color w:val="000000"/>
                <w:sz w:val="22"/>
                <w:szCs w:val="22"/>
              </w:rPr>
              <w:t>38</w:t>
            </w:r>
            <w:r>
              <w:rPr>
                <w:rStyle w:val="FootnoteReference"/>
                <w:noProof/>
                <w:color w:val="000000"/>
                <w:sz w:val="22"/>
                <w:szCs w:val="22"/>
              </w:rPr>
              <w:footnoteReference w:id="3"/>
            </w:r>
          </w:p>
        </w:tc>
        <w:tc>
          <w:tcPr>
            <w:tcW w:w="2364" w:type="dxa"/>
            <w:shd w:val="clear" w:color="auto" w:fill="auto"/>
            <w:vAlign w:val="center"/>
          </w:tcPr>
          <w:p>
            <w:pPr>
              <w:jc w:val="center"/>
              <w:rPr>
                <w:noProof/>
                <w:color w:val="000000"/>
                <w:sz w:val="22"/>
                <w:szCs w:val="22"/>
              </w:rPr>
            </w:pPr>
            <w:r>
              <w:rPr>
                <w:noProof/>
                <w:color w:val="000000"/>
                <w:sz w:val="22"/>
                <w:szCs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Rumunjska</w:t>
            </w:r>
          </w:p>
        </w:tc>
        <w:tc>
          <w:tcPr>
            <w:tcW w:w="3609" w:type="dxa"/>
            <w:shd w:val="clear" w:color="auto" w:fill="auto"/>
            <w:vAlign w:val="center"/>
          </w:tcPr>
          <w:p>
            <w:pPr>
              <w:jc w:val="center"/>
              <w:rPr>
                <w:i/>
                <w:iCs/>
                <w:noProof/>
                <w:color w:val="000000"/>
                <w:sz w:val="22"/>
                <w:szCs w:val="22"/>
              </w:rPr>
            </w:pPr>
            <w:r>
              <w:rPr>
                <w:i/>
                <w:iCs/>
                <w:noProof/>
                <w:color w:val="000000"/>
                <w:sz w:val="22"/>
                <w:szCs w:val="22"/>
              </w:rPr>
              <w:t>Senatul</w:t>
            </w:r>
          </w:p>
        </w:tc>
        <w:tc>
          <w:tcPr>
            <w:tcW w:w="1660" w:type="dxa"/>
            <w:shd w:val="clear" w:color="auto" w:fill="auto"/>
            <w:vAlign w:val="center"/>
          </w:tcPr>
          <w:p>
            <w:pPr>
              <w:jc w:val="center"/>
              <w:rPr>
                <w:noProof/>
                <w:color w:val="000000"/>
                <w:sz w:val="22"/>
                <w:szCs w:val="22"/>
              </w:rPr>
            </w:pPr>
            <w:r>
              <w:rPr>
                <w:noProof/>
                <w:color w:val="000000"/>
                <w:sz w:val="22"/>
                <w:szCs w:val="22"/>
              </w:rPr>
              <w:t>33</w:t>
            </w:r>
          </w:p>
        </w:tc>
        <w:tc>
          <w:tcPr>
            <w:tcW w:w="2364" w:type="dxa"/>
            <w:shd w:val="clear" w:color="auto" w:fill="auto"/>
            <w:vAlign w:val="center"/>
          </w:tcPr>
          <w:p>
            <w:pPr>
              <w:jc w:val="center"/>
              <w:rPr>
                <w:noProof/>
                <w:color w:val="000000"/>
                <w:sz w:val="22"/>
                <w:szCs w:val="22"/>
              </w:rPr>
            </w:pPr>
            <w:r>
              <w:rPr>
                <w:noProof/>
                <w:color w:val="000000"/>
                <w:sz w:val="22"/>
                <w:szCs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Francuska</w:t>
            </w:r>
          </w:p>
        </w:tc>
        <w:tc>
          <w:tcPr>
            <w:tcW w:w="3609" w:type="dxa"/>
            <w:shd w:val="clear" w:color="auto" w:fill="auto"/>
            <w:vAlign w:val="center"/>
          </w:tcPr>
          <w:p>
            <w:pPr>
              <w:jc w:val="center"/>
              <w:rPr>
                <w:i/>
                <w:iCs/>
                <w:noProof/>
                <w:color w:val="000000"/>
                <w:sz w:val="22"/>
                <w:szCs w:val="22"/>
              </w:rPr>
            </w:pPr>
            <w:r>
              <w:rPr>
                <w:i/>
                <w:iCs/>
                <w:noProof/>
                <w:color w:val="000000"/>
                <w:sz w:val="22"/>
                <w:szCs w:val="22"/>
              </w:rPr>
              <w:t xml:space="preserve">Sénat  </w:t>
            </w:r>
          </w:p>
        </w:tc>
        <w:tc>
          <w:tcPr>
            <w:tcW w:w="1660" w:type="dxa"/>
            <w:shd w:val="clear" w:color="auto" w:fill="auto"/>
            <w:vAlign w:val="center"/>
          </w:tcPr>
          <w:p>
            <w:pPr>
              <w:jc w:val="center"/>
              <w:rPr>
                <w:noProof/>
                <w:color w:val="000000"/>
                <w:sz w:val="22"/>
                <w:szCs w:val="22"/>
              </w:rPr>
            </w:pPr>
            <w:r>
              <w:rPr>
                <w:noProof/>
                <w:color w:val="000000"/>
                <w:sz w:val="22"/>
                <w:szCs w:val="22"/>
              </w:rPr>
              <w:t>29</w:t>
            </w:r>
          </w:p>
        </w:tc>
        <w:tc>
          <w:tcPr>
            <w:tcW w:w="2364" w:type="dxa"/>
            <w:shd w:val="clear" w:color="auto" w:fill="auto"/>
            <w:vAlign w:val="center"/>
          </w:tcPr>
          <w:p>
            <w:pPr>
              <w:jc w:val="center"/>
              <w:rPr>
                <w:noProof/>
                <w:color w:val="000000"/>
                <w:sz w:val="22"/>
                <w:szCs w:val="22"/>
              </w:rPr>
            </w:pPr>
            <w:r>
              <w:rPr>
                <w:noProof/>
                <w:color w:val="000000"/>
                <w:sz w:val="22"/>
                <w:szCs w:val="22"/>
              </w:rPr>
              <w:t>7</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Ujedinjena Kraljevina</w:t>
            </w:r>
          </w:p>
        </w:tc>
        <w:tc>
          <w:tcPr>
            <w:tcW w:w="3609" w:type="dxa"/>
            <w:shd w:val="clear" w:color="auto" w:fill="auto"/>
            <w:vAlign w:val="center"/>
          </w:tcPr>
          <w:p>
            <w:pPr>
              <w:jc w:val="center"/>
              <w:rPr>
                <w:i/>
                <w:iCs/>
                <w:noProof/>
                <w:color w:val="000000"/>
                <w:sz w:val="22"/>
                <w:szCs w:val="22"/>
              </w:rPr>
            </w:pPr>
            <w:r>
              <w:rPr>
                <w:i/>
                <w:iCs/>
                <w:noProof/>
                <w:color w:val="000000"/>
                <w:sz w:val="22"/>
                <w:szCs w:val="22"/>
              </w:rPr>
              <w:t>House of Lords</w:t>
            </w:r>
          </w:p>
        </w:tc>
        <w:tc>
          <w:tcPr>
            <w:tcW w:w="1660" w:type="dxa"/>
            <w:shd w:val="clear" w:color="auto" w:fill="auto"/>
            <w:vAlign w:val="center"/>
          </w:tcPr>
          <w:p>
            <w:pPr>
              <w:jc w:val="center"/>
              <w:rPr>
                <w:noProof/>
                <w:color w:val="000000"/>
                <w:sz w:val="22"/>
                <w:szCs w:val="22"/>
              </w:rPr>
            </w:pPr>
            <w:r>
              <w:rPr>
                <w:noProof/>
                <w:color w:val="000000"/>
                <w:sz w:val="22"/>
                <w:szCs w:val="22"/>
              </w:rPr>
              <w:t>22</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Češka</w:t>
            </w:r>
          </w:p>
        </w:tc>
        <w:tc>
          <w:tcPr>
            <w:tcW w:w="3609" w:type="dxa"/>
            <w:shd w:val="clear" w:color="auto" w:fill="auto"/>
            <w:vAlign w:val="center"/>
          </w:tcPr>
          <w:p>
            <w:pPr>
              <w:jc w:val="center"/>
              <w:rPr>
                <w:i/>
                <w:iCs/>
                <w:noProof/>
                <w:color w:val="000000"/>
                <w:sz w:val="22"/>
                <w:szCs w:val="22"/>
              </w:rPr>
            </w:pPr>
            <w:r>
              <w:rPr>
                <w:i/>
                <w:iCs/>
                <w:noProof/>
                <w:color w:val="000000"/>
                <w:sz w:val="22"/>
                <w:szCs w:val="22"/>
              </w:rPr>
              <w:t>Poslanecká sněmovna</w:t>
            </w:r>
          </w:p>
        </w:tc>
        <w:tc>
          <w:tcPr>
            <w:tcW w:w="1660" w:type="dxa"/>
            <w:shd w:val="clear" w:color="auto" w:fill="auto"/>
            <w:vAlign w:val="center"/>
          </w:tcPr>
          <w:p>
            <w:pPr>
              <w:jc w:val="center"/>
              <w:rPr>
                <w:noProof/>
                <w:color w:val="000000"/>
                <w:sz w:val="22"/>
                <w:szCs w:val="22"/>
              </w:rPr>
            </w:pPr>
            <w:r>
              <w:rPr>
                <w:noProof/>
                <w:color w:val="000000"/>
                <w:sz w:val="22"/>
                <w:szCs w:val="22"/>
              </w:rPr>
              <w:t>17</w:t>
            </w:r>
          </w:p>
        </w:tc>
        <w:tc>
          <w:tcPr>
            <w:tcW w:w="2364" w:type="dxa"/>
            <w:shd w:val="clear" w:color="auto" w:fill="auto"/>
            <w:vAlign w:val="center"/>
          </w:tcPr>
          <w:p>
            <w:pPr>
              <w:jc w:val="center"/>
              <w:rPr>
                <w:noProof/>
                <w:color w:val="000000"/>
                <w:sz w:val="22"/>
                <w:szCs w:val="22"/>
              </w:rPr>
            </w:pPr>
            <w:r>
              <w:rPr>
                <w:noProof/>
                <w:color w:val="000000"/>
                <w:sz w:val="22"/>
                <w:szCs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Švedska</w:t>
            </w:r>
          </w:p>
        </w:tc>
        <w:tc>
          <w:tcPr>
            <w:tcW w:w="3609" w:type="dxa"/>
            <w:shd w:val="clear" w:color="auto" w:fill="auto"/>
            <w:vAlign w:val="center"/>
          </w:tcPr>
          <w:p>
            <w:pPr>
              <w:jc w:val="center"/>
              <w:rPr>
                <w:i/>
                <w:iCs/>
                <w:noProof/>
                <w:color w:val="000000"/>
                <w:sz w:val="22"/>
                <w:szCs w:val="22"/>
              </w:rPr>
            </w:pPr>
            <w:r>
              <w:rPr>
                <w:i/>
                <w:iCs/>
                <w:noProof/>
                <w:color w:val="000000"/>
                <w:sz w:val="22"/>
                <w:szCs w:val="22"/>
              </w:rPr>
              <w:t>Riksdag</w:t>
            </w:r>
          </w:p>
        </w:tc>
        <w:tc>
          <w:tcPr>
            <w:tcW w:w="1660" w:type="dxa"/>
            <w:shd w:val="clear" w:color="auto" w:fill="auto"/>
            <w:vAlign w:val="center"/>
          </w:tcPr>
          <w:p>
            <w:pPr>
              <w:jc w:val="center"/>
              <w:rPr>
                <w:noProof/>
                <w:color w:val="000000"/>
                <w:sz w:val="22"/>
                <w:szCs w:val="22"/>
              </w:rPr>
            </w:pPr>
            <w:r>
              <w:rPr>
                <w:noProof/>
                <w:color w:val="000000"/>
                <w:sz w:val="22"/>
                <w:szCs w:val="22"/>
              </w:rPr>
              <w:t>17</w:t>
            </w:r>
          </w:p>
        </w:tc>
        <w:tc>
          <w:tcPr>
            <w:tcW w:w="2364" w:type="dxa"/>
            <w:shd w:val="clear" w:color="auto" w:fill="auto"/>
            <w:vAlign w:val="center"/>
          </w:tcPr>
          <w:p>
            <w:pPr>
              <w:jc w:val="center"/>
              <w:rPr>
                <w:noProof/>
                <w:color w:val="000000"/>
                <w:sz w:val="22"/>
                <w:szCs w:val="22"/>
              </w:rPr>
            </w:pPr>
            <w:r>
              <w:rPr>
                <w:noProof/>
                <w:color w:val="000000"/>
                <w:sz w:val="22"/>
                <w:szCs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Francuska</w:t>
            </w:r>
          </w:p>
        </w:tc>
        <w:tc>
          <w:tcPr>
            <w:tcW w:w="3609" w:type="dxa"/>
            <w:shd w:val="clear" w:color="auto" w:fill="auto"/>
            <w:vAlign w:val="center"/>
          </w:tcPr>
          <w:p>
            <w:pPr>
              <w:jc w:val="center"/>
              <w:rPr>
                <w:i/>
                <w:iCs/>
                <w:noProof/>
                <w:color w:val="000000"/>
                <w:sz w:val="22"/>
                <w:szCs w:val="22"/>
              </w:rPr>
            </w:pPr>
            <w:r>
              <w:rPr>
                <w:i/>
                <w:iCs/>
                <w:noProof/>
                <w:color w:val="000000"/>
                <w:sz w:val="22"/>
                <w:szCs w:val="22"/>
              </w:rPr>
              <w:t>Assemblée nationale</w:t>
            </w:r>
          </w:p>
        </w:tc>
        <w:tc>
          <w:tcPr>
            <w:tcW w:w="1660" w:type="dxa"/>
            <w:shd w:val="clear" w:color="auto" w:fill="auto"/>
            <w:vAlign w:val="center"/>
          </w:tcPr>
          <w:p>
            <w:pPr>
              <w:jc w:val="center"/>
              <w:rPr>
                <w:noProof/>
                <w:color w:val="000000"/>
                <w:sz w:val="22"/>
                <w:szCs w:val="22"/>
              </w:rPr>
            </w:pPr>
            <w:r>
              <w:rPr>
                <w:noProof/>
                <w:color w:val="000000"/>
                <w:sz w:val="22"/>
                <w:szCs w:val="22"/>
              </w:rPr>
              <w:t>16</w:t>
            </w:r>
          </w:p>
        </w:tc>
        <w:tc>
          <w:tcPr>
            <w:tcW w:w="2364" w:type="dxa"/>
            <w:shd w:val="clear" w:color="auto" w:fill="auto"/>
            <w:vAlign w:val="center"/>
          </w:tcPr>
          <w:p>
            <w:pPr>
              <w:jc w:val="center"/>
              <w:rPr>
                <w:noProof/>
                <w:color w:val="000000"/>
                <w:sz w:val="22"/>
                <w:szCs w:val="22"/>
              </w:rPr>
            </w:pPr>
            <w:r>
              <w:rPr>
                <w:noProof/>
                <w:color w:val="000000"/>
                <w:sz w:val="22"/>
                <w:szCs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Austrija</w:t>
            </w:r>
          </w:p>
        </w:tc>
        <w:tc>
          <w:tcPr>
            <w:tcW w:w="3609" w:type="dxa"/>
            <w:shd w:val="clear" w:color="auto" w:fill="auto"/>
            <w:vAlign w:val="center"/>
          </w:tcPr>
          <w:p>
            <w:pPr>
              <w:jc w:val="center"/>
              <w:rPr>
                <w:i/>
                <w:iCs/>
                <w:noProof/>
                <w:color w:val="000000"/>
                <w:sz w:val="22"/>
                <w:szCs w:val="22"/>
              </w:rPr>
            </w:pPr>
            <w:r>
              <w:rPr>
                <w:i/>
                <w:iCs/>
                <w:noProof/>
                <w:color w:val="000000"/>
                <w:sz w:val="22"/>
                <w:szCs w:val="22"/>
              </w:rPr>
              <w:t>Bundesrat</w:t>
            </w:r>
          </w:p>
        </w:tc>
        <w:tc>
          <w:tcPr>
            <w:tcW w:w="1660" w:type="dxa"/>
            <w:shd w:val="clear" w:color="auto" w:fill="auto"/>
            <w:vAlign w:val="center"/>
          </w:tcPr>
          <w:p>
            <w:pPr>
              <w:jc w:val="center"/>
              <w:rPr>
                <w:noProof/>
                <w:color w:val="000000"/>
                <w:sz w:val="22"/>
                <w:szCs w:val="22"/>
              </w:rPr>
            </w:pPr>
            <w:r>
              <w:rPr>
                <w:noProof/>
                <w:color w:val="000000"/>
                <w:sz w:val="22"/>
                <w:szCs w:val="22"/>
              </w:rPr>
              <w:t>14</w:t>
            </w:r>
          </w:p>
        </w:tc>
        <w:tc>
          <w:tcPr>
            <w:tcW w:w="2364" w:type="dxa"/>
            <w:shd w:val="clear" w:color="auto" w:fill="auto"/>
            <w:vAlign w:val="center"/>
          </w:tcPr>
          <w:p>
            <w:pPr>
              <w:jc w:val="center"/>
              <w:rPr>
                <w:noProof/>
                <w:color w:val="000000"/>
                <w:sz w:val="22"/>
                <w:szCs w:val="22"/>
              </w:rPr>
            </w:pPr>
            <w:r>
              <w:rPr>
                <w:noProof/>
                <w:color w:val="000000"/>
                <w:sz w:val="22"/>
                <w:szCs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Poljska</w:t>
            </w:r>
          </w:p>
        </w:tc>
        <w:tc>
          <w:tcPr>
            <w:tcW w:w="3609" w:type="dxa"/>
            <w:shd w:val="clear" w:color="auto" w:fill="auto"/>
            <w:vAlign w:val="center"/>
          </w:tcPr>
          <w:p>
            <w:pPr>
              <w:jc w:val="center"/>
              <w:rPr>
                <w:i/>
                <w:iCs/>
                <w:noProof/>
                <w:color w:val="000000"/>
                <w:sz w:val="22"/>
                <w:szCs w:val="22"/>
              </w:rPr>
            </w:pPr>
            <w:r>
              <w:rPr>
                <w:i/>
                <w:iCs/>
                <w:noProof/>
                <w:color w:val="000000"/>
                <w:sz w:val="22"/>
                <w:szCs w:val="22"/>
              </w:rPr>
              <w:t>Senat Rzeczypospolitej Polskiej</w:t>
            </w:r>
          </w:p>
        </w:tc>
        <w:tc>
          <w:tcPr>
            <w:tcW w:w="1660" w:type="dxa"/>
            <w:shd w:val="clear" w:color="auto" w:fill="auto"/>
            <w:vAlign w:val="center"/>
          </w:tcPr>
          <w:p>
            <w:pPr>
              <w:jc w:val="center"/>
              <w:rPr>
                <w:noProof/>
                <w:color w:val="000000"/>
                <w:sz w:val="22"/>
                <w:szCs w:val="22"/>
              </w:rPr>
            </w:pPr>
            <w:r>
              <w:rPr>
                <w:noProof/>
                <w:color w:val="000000"/>
                <w:sz w:val="22"/>
                <w:szCs w:val="22"/>
              </w:rPr>
              <w:t>14</w:t>
            </w:r>
          </w:p>
        </w:tc>
        <w:tc>
          <w:tcPr>
            <w:tcW w:w="2364" w:type="dxa"/>
            <w:shd w:val="clear" w:color="auto" w:fill="auto"/>
            <w:vAlign w:val="center"/>
          </w:tcPr>
          <w:p>
            <w:pPr>
              <w:jc w:val="center"/>
              <w:rPr>
                <w:noProof/>
                <w:color w:val="000000"/>
                <w:sz w:val="22"/>
                <w:szCs w:val="22"/>
              </w:rPr>
            </w:pPr>
            <w:r>
              <w:rPr>
                <w:noProof/>
                <w:color w:val="000000"/>
                <w:sz w:val="22"/>
                <w:szCs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Mađarska</w:t>
            </w:r>
          </w:p>
        </w:tc>
        <w:tc>
          <w:tcPr>
            <w:tcW w:w="3609" w:type="dxa"/>
            <w:shd w:val="clear" w:color="auto" w:fill="auto"/>
            <w:vAlign w:val="center"/>
          </w:tcPr>
          <w:p>
            <w:pPr>
              <w:jc w:val="center"/>
              <w:rPr>
                <w:i/>
                <w:iCs/>
                <w:noProof/>
                <w:color w:val="000000"/>
                <w:sz w:val="22"/>
                <w:szCs w:val="22"/>
              </w:rPr>
            </w:pPr>
            <w:r>
              <w:rPr>
                <w:i/>
                <w:iCs/>
                <w:noProof/>
                <w:color w:val="000000"/>
                <w:sz w:val="22"/>
                <w:szCs w:val="22"/>
              </w:rPr>
              <w:t>Országgyűlés</w:t>
            </w:r>
          </w:p>
        </w:tc>
        <w:tc>
          <w:tcPr>
            <w:tcW w:w="1660" w:type="dxa"/>
            <w:shd w:val="clear" w:color="auto" w:fill="auto"/>
            <w:vAlign w:val="center"/>
          </w:tcPr>
          <w:p>
            <w:pPr>
              <w:jc w:val="center"/>
              <w:rPr>
                <w:noProof/>
                <w:color w:val="000000"/>
                <w:sz w:val="22"/>
                <w:szCs w:val="22"/>
              </w:rPr>
            </w:pPr>
            <w:r>
              <w:rPr>
                <w:noProof/>
                <w:color w:val="000000"/>
                <w:sz w:val="22"/>
                <w:szCs w:val="22"/>
              </w:rPr>
              <w:t>8</w:t>
            </w:r>
          </w:p>
        </w:tc>
        <w:tc>
          <w:tcPr>
            <w:tcW w:w="2364" w:type="dxa"/>
            <w:shd w:val="clear" w:color="auto" w:fill="auto"/>
            <w:vAlign w:val="center"/>
          </w:tcPr>
          <w:p>
            <w:pPr>
              <w:jc w:val="center"/>
              <w:rPr>
                <w:noProof/>
                <w:color w:val="000000"/>
                <w:sz w:val="22"/>
                <w:szCs w:val="22"/>
              </w:rPr>
            </w:pPr>
            <w:r>
              <w:rPr>
                <w:noProof/>
                <w:color w:val="000000"/>
                <w:sz w:val="22"/>
                <w:szCs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Njemačka</w:t>
            </w:r>
          </w:p>
        </w:tc>
        <w:tc>
          <w:tcPr>
            <w:tcW w:w="3609" w:type="dxa"/>
            <w:shd w:val="clear" w:color="auto" w:fill="auto"/>
            <w:vAlign w:val="center"/>
          </w:tcPr>
          <w:p>
            <w:pPr>
              <w:jc w:val="center"/>
              <w:rPr>
                <w:i/>
                <w:iCs/>
                <w:noProof/>
                <w:color w:val="000000"/>
                <w:sz w:val="22"/>
                <w:szCs w:val="22"/>
              </w:rPr>
            </w:pPr>
            <w:r>
              <w:rPr>
                <w:i/>
                <w:iCs/>
                <w:noProof/>
                <w:color w:val="000000"/>
                <w:sz w:val="22"/>
                <w:szCs w:val="22"/>
              </w:rPr>
              <w:t>Bundestag</w:t>
            </w:r>
          </w:p>
        </w:tc>
        <w:tc>
          <w:tcPr>
            <w:tcW w:w="1660" w:type="dxa"/>
            <w:shd w:val="clear" w:color="auto" w:fill="auto"/>
            <w:vAlign w:val="center"/>
          </w:tcPr>
          <w:p>
            <w:pPr>
              <w:jc w:val="center"/>
              <w:rPr>
                <w:noProof/>
                <w:color w:val="000000"/>
                <w:sz w:val="22"/>
                <w:szCs w:val="22"/>
              </w:rPr>
            </w:pPr>
            <w:r>
              <w:rPr>
                <w:noProof/>
                <w:color w:val="000000"/>
                <w:sz w:val="22"/>
                <w:szCs w:val="22"/>
              </w:rPr>
              <w:t>6</w:t>
            </w:r>
          </w:p>
        </w:tc>
        <w:tc>
          <w:tcPr>
            <w:tcW w:w="2364" w:type="dxa"/>
            <w:shd w:val="clear" w:color="auto" w:fill="auto"/>
            <w:vAlign w:val="center"/>
          </w:tcPr>
          <w:p>
            <w:pPr>
              <w:jc w:val="center"/>
              <w:rPr>
                <w:noProof/>
                <w:color w:val="000000"/>
                <w:sz w:val="22"/>
                <w:szCs w:val="22"/>
              </w:rPr>
            </w:pPr>
            <w:r>
              <w:rPr>
                <w:noProof/>
                <w:color w:val="000000"/>
                <w:sz w:val="22"/>
                <w:szCs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Nizozemska</w:t>
            </w:r>
          </w:p>
        </w:tc>
        <w:tc>
          <w:tcPr>
            <w:tcW w:w="3609" w:type="dxa"/>
            <w:shd w:val="clear" w:color="auto" w:fill="auto"/>
            <w:vAlign w:val="center"/>
          </w:tcPr>
          <w:p>
            <w:pPr>
              <w:jc w:val="center"/>
              <w:rPr>
                <w:i/>
                <w:iCs/>
                <w:noProof/>
                <w:color w:val="000000"/>
                <w:sz w:val="22"/>
                <w:szCs w:val="22"/>
              </w:rPr>
            </w:pPr>
            <w:r>
              <w:rPr>
                <w:i/>
                <w:iCs/>
                <w:noProof/>
                <w:color w:val="000000"/>
                <w:sz w:val="22"/>
                <w:szCs w:val="22"/>
              </w:rPr>
              <w:t>Eerste Kamer</w:t>
            </w:r>
          </w:p>
        </w:tc>
        <w:tc>
          <w:tcPr>
            <w:tcW w:w="1660" w:type="dxa"/>
            <w:shd w:val="clear" w:color="auto" w:fill="auto"/>
            <w:vAlign w:val="center"/>
          </w:tcPr>
          <w:p>
            <w:pPr>
              <w:jc w:val="center"/>
              <w:rPr>
                <w:noProof/>
                <w:color w:val="000000"/>
                <w:sz w:val="22"/>
                <w:szCs w:val="22"/>
              </w:rPr>
            </w:pPr>
            <w:r>
              <w:rPr>
                <w:noProof/>
                <w:color w:val="000000"/>
                <w:sz w:val="22"/>
                <w:szCs w:val="22"/>
              </w:rPr>
              <w:t>6</w:t>
            </w:r>
          </w:p>
        </w:tc>
        <w:tc>
          <w:tcPr>
            <w:tcW w:w="2364" w:type="dxa"/>
            <w:shd w:val="clear" w:color="auto" w:fill="auto"/>
            <w:vAlign w:val="center"/>
          </w:tcPr>
          <w:p>
            <w:pPr>
              <w:jc w:val="center"/>
              <w:rPr>
                <w:noProof/>
                <w:color w:val="000000"/>
                <w:sz w:val="22"/>
                <w:szCs w:val="22"/>
              </w:rPr>
            </w:pPr>
            <w:r>
              <w:rPr>
                <w:noProof/>
                <w:color w:val="000000"/>
                <w:sz w:val="22"/>
                <w:szCs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Poljska</w:t>
            </w:r>
          </w:p>
        </w:tc>
        <w:tc>
          <w:tcPr>
            <w:tcW w:w="3609" w:type="dxa"/>
            <w:shd w:val="clear" w:color="auto" w:fill="auto"/>
            <w:vAlign w:val="center"/>
          </w:tcPr>
          <w:p>
            <w:pPr>
              <w:jc w:val="center"/>
              <w:rPr>
                <w:i/>
                <w:iCs/>
                <w:noProof/>
                <w:color w:val="000000"/>
                <w:sz w:val="22"/>
                <w:szCs w:val="22"/>
              </w:rPr>
            </w:pPr>
            <w:r>
              <w:rPr>
                <w:i/>
                <w:iCs/>
                <w:noProof/>
                <w:color w:val="000000"/>
                <w:sz w:val="22"/>
                <w:szCs w:val="22"/>
              </w:rPr>
              <w:t>Sejm Rzeczypospolitej Polskiej</w:t>
            </w:r>
          </w:p>
        </w:tc>
        <w:tc>
          <w:tcPr>
            <w:tcW w:w="1660" w:type="dxa"/>
            <w:shd w:val="clear" w:color="auto" w:fill="auto"/>
            <w:vAlign w:val="center"/>
          </w:tcPr>
          <w:p>
            <w:pPr>
              <w:jc w:val="center"/>
              <w:rPr>
                <w:noProof/>
                <w:color w:val="000000"/>
                <w:sz w:val="22"/>
                <w:szCs w:val="22"/>
              </w:rPr>
            </w:pPr>
            <w:r>
              <w:rPr>
                <w:noProof/>
                <w:color w:val="000000"/>
                <w:sz w:val="22"/>
                <w:szCs w:val="22"/>
              </w:rPr>
              <w:t>6</w:t>
            </w:r>
          </w:p>
        </w:tc>
        <w:tc>
          <w:tcPr>
            <w:tcW w:w="2364" w:type="dxa"/>
            <w:shd w:val="clear" w:color="auto" w:fill="auto"/>
            <w:vAlign w:val="center"/>
          </w:tcPr>
          <w:p>
            <w:pPr>
              <w:jc w:val="center"/>
              <w:rPr>
                <w:noProof/>
                <w:color w:val="000000"/>
                <w:sz w:val="22"/>
                <w:szCs w:val="22"/>
              </w:rPr>
            </w:pPr>
            <w:r>
              <w:rPr>
                <w:noProof/>
                <w:color w:val="000000"/>
                <w:sz w:val="22"/>
                <w:szCs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Irska</w:t>
            </w:r>
          </w:p>
        </w:tc>
        <w:tc>
          <w:tcPr>
            <w:tcW w:w="3609" w:type="dxa"/>
            <w:shd w:val="clear" w:color="auto" w:fill="auto"/>
            <w:vAlign w:val="center"/>
          </w:tcPr>
          <w:p>
            <w:pPr>
              <w:jc w:val="center"/>
              <w:rPr>
                <w:i/>
                <w:noProof/>
                <w:color w:val="000000"/>
                <w:sz w:val="22"/>
                <w:szCs w:val="22"/>
              </w:rPr>
            </w:pPr>
            <w:r>
              <w:rPr>
                <w:i/>
                <w:noProof/>
                <w:color w:val="000000"/>
                <w:sz w:val="22"/>
                <w:szCs w:val="22"/>
              </w:rPr>
              <w:t>Houses of the Oireachtas:</w:t>
            </w:r>
            <w:r>
              <w:rPr>
                <w:i/>
                <w:noProof/>
                <w:color w:val="000000"/>
                <w:sz w:val="22"/>
                <w:szCs w:val="22"/>
              </w:rPr>
              <w:br/>
              <w:t xml:space="preserve">Dáil </w:t>
            </w:r>
            <w:r>
              <w:rPr>
                <w:noProof/>
                <w:color w:val="000000"/>
                <w:sz w:val="22"/>
                <w:szCs w:val="22"/>
              </w:rPr>
              <w:t xml:space="preserve">i </w:t>
            </w:r>
            <w:r>
              <w:rPr>
                <w:i/>
                <w:noProof/>
                <w:color w:val="000000"/>
                <w:sz w:val="22"/>
                <w:szCs w:val="22"/>
              </w:rPr>
              <w:t>Seanad Éireann</w:t>
            </w:r>
            <w:r>
              <w:rPr>
                <w:i/>
                <w:iCs/>
                <w:noProof/>
                <w:color w:val="000000"/>
                <w:sz w:val="22"/>
                <w:szCs w:val="22"/>
              </w:rPr>
              <w:t xml:space="preserve"> </w:t>
            </w:r>
          </w:p>
        </w:tc>
        <w:tc>
          <w:tcPr>
            <w:tcW w:w="1660" w:type="dxa"/>
            <w:shd w:val="clear" w:color="auto" w:fill="auto"/>
            <w:vAlign w:val="center"/>
          </w:tcPr>
          <w:p>
            <w:pPr>
              <w:jc w:val="center"/>
              <w:rPr>
                <w:noProof/>
                <w:color w:val="000000"/>
                <w:sz w:val="22"/>
                <w:szCs w:val="22"/>
              </w:rPr>
            </w:pPr>
            <w:r>
              <w:rPr>
                <w:noProof/>
                <w:color w:val="000000"/>
                <w:sz w:val="22"/>
                <w:szCs w:val="22"/>
              </w:rPr>
              <w:t>6</w:t>
            </w:r>
          </w:p>
        </w:tc>
        <w:tc>
          <w:tcPr>
            <w:tcW w:w="2364" w:type="dxa"/>
            <w:shd w:val="clear" w:color="auto" w:fill="auto"/>
            <w:vAlign w:val="center"/>
          </w:tcPr>
          <w:p>
            <w:pPr>
              <w:jc w:val="center"/>
              <w:rPr>
                <w:noProof/>
                <w:color w:val="000000"/>
                <w:sz w:val="22"/>
                <w:szCs w:val="22"/>
              </w:rPr>
            </w:pPr>
            <w:r>
              <w:rPr>
                <w:noProof/>
                <w:color w:val="000000"/>
                <w:sz w:val="22"/>
                <w:szCs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Danska</w:t>
            </w:r>
          </w:p>
        </w:tc>
        <w:tc>
          <w:tcPr>
            <w:tcW w:w="3609" w:type="dxa"/>
            <w:shd w:val="clear" w:color="auto" w:fill="auto"/>
            <w:vAlign w:val="center"/>
          </w:tcPr>
          <w:p>
            <w:pPr>
              <w:jc w:val="center"/>
              <w:rPr>
                <w:i/>
                <w:iCs/>
                <w:noProof/>
                <w:color w:val="000000"/>
                <w:sz w:val="22"/>
                <w:szCs w:val="22"/>
              </w:rPr>
            </w:pPr>
            <w:r>
              <w:rPr>
                <w:i/>
                <w:iCs/>
                <w:noProof/>
                <w:color w:val="000000"/>
                <w:sz w:val="22"/>
                <w:szCs w:val="22"/>
              </w:rPr>
              <w:t>Folketing</w:t>
            </w:r>
          </w:p>
        </w:tc>
        <w:tc>
          <w:tcPr>
            <w:tcW w:w="1660" w:type="dxa"/>
            <w:shd w:val="clear" w:color="auto" w:fill="auto"/>
            <w:vAlign w:val="center"/>
          </w:tcPr>
          <w:p>
            <w:pPr>
              <w:jc w:val="center"/>
              <w:rPr>
                <w:noProof/>
                <w:color w:val="000000"/>
                <w:sz w:val="22"/>
                <w:szCs w:val="22"/>
              </w:rPr>
            </w:pPr>
            <w:r>
              <w:rPr>
                <w:noProof/>
                <w:color w:val="000000"/>
                <w:sz w:val="22"/>
                <w:szCs w:val="22"/>
              </w:rPr>
              <w:t>6</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Slovačka</w:t>
            </w:r>
          </w:p>
        </w:tc>
        <w:tc>
          <w:tcPr>
            <w:tcW w:w="3609" w:type="dxa"/>
            <w:shd w:val="clear" w:color="auto" w:fill="auto"/>
            <w:vAlign w:val="center"/>
          </w:tcPr>
          <w:p>
            <w:pPr>
              <w:jc w:val="center"/>
              <w:rPr>
                <w:i/>
                <w:iCs/>
                <w:noProof/>
                <w:color w:val="000000"/>
                <w:sz w:val="22"/>
                <w:szCs w:val="22"/>
              </w:rPr>
            </w:pPr>
            <w:r>
              <w:rPr>
                <w:i/>
                <w:iCs/>
                <w:noProof/>
                <w:color w:val="000000"/>
                <w:sz w:val="22"/>
                <w:szCs w:val="22"/>
              </w:rPr>
              <w:t>Národná rada</w:t>
            </w:r>
          </w:p>
        </w:tc>
        <w:tc>
          <w:tcPr>
            <w:tcW w:w="1660" w:type="dxa"/>
            <w:shd w:val="clear" w:color="auto" w:fill="auto"/>
            <w:vAlign w:val="center"/>
          </w:tcPr>
          <w:p>
            <w:pPr>
              <w:jc w:val="center"/>
              <w:rPr>
                <w:noProof/>
                <w:color w:val="000000"/>
                <w:sz w:val="22"/>
                <w:szCs w:val="22"/>
              </w:rPr>
            </w:pPr>
            <w:r>
              <w:rPr>
                <w:noProof/>
                <w:color w:val="000000"/>
                <w:sz w:val="22"/>
                <w:szCs w:val="22"/>
              </w:rPr>
              <w:t>6</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Nizozemska</w:t>
            </w:r>
          </w:p>
        </w:tc>
        <w:tc>
          <w:tcPr>
            <w:tcW w:w="3609" w:type="dxa"/>
            <w:shd w:val="clear" w:color="auto" w:fill="auto"/>
            <w:vAlign w:val="center"/>
          </w:tcPr>
          <w:p>
            <w:pPr>
              <w:jc w:val="center"/>
              <w:rPr>
                <w:i/>
                <w:iCs/>
                <w:noProof/>
                <w:color w:val="000000"/>
                <w:sz w:val="22"/>
                <w:szCs w:val="22"/>
              </w:rPr>
            </w:pPr>
            <w:r>
              <w:rPr>
                <w:i/>
                <w:iCs/>
                <w:noProof/>
                <w:color w:val="000000"/>
                <w:sz w:val="22"/>
                <w:szCs w:val="22"/>
              </w:rPr>
              <w:t>Tweede Kamer</w:t>
            </w:r>
          </w:p>
        </w:tc>
        <w:tc>
          <w:tcPr>
            <w:tcW w:w="1660" w:type="dxa"/>
            <w:shd w:val="clear" w:color="auto" w:fill="auto"/>
            <w:vAlign w:val="center"/>
          </w:tcPr>
          <w:p>
            <w:pPr>
              <w:jc w:val="center"/>
              <w:rPr>
                <w:noProof/>
                <w:color w:val="000000"/>
                <w:sz w:val="22"/>
                <w:szCs w:val="22"/>
              </w:rPr>
            </w:pPr>
            <w:r>
              <w:rPr>
                <w:noProof/>
                <w:color w:val="000000"/>
                <w:sz w:val="22"/>
                <w:szCs w:val="22"/>
              </w:rPr>
              <w:t>5</w:t>
            </w:r>
          </w:p>
        </w:tc>
        <w:tc>
          <w:tcPr>
            <w:tcW w:w="2364" w:type="dxa"/>
            <w:shd w:val="clear" w:color="auto" w:fill="auto"/>
            <w:vAlign w:val="center"/>
          </w:tcPr>
          <w:p>
            <w:pPr>
              <w:jc w:val="center"/>
              <w:rPr>
                <w:noProof/>
                <w:color w:val="000000"/>
                <w:sz w:val="22"/>
                <w:szCs w:val="22"/>
              </w:rPr>
            </w:pPr>
            <w:r>
              <w:rPr>
                <w:noProof/>
                <w:color w:val="000000"/>
                <w:sz w:val="22"/>
                <w:szCs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Cipar</w:t>
            </w:r>
          </w:p>
        </w:tc>
        <w:tc>
          <w:tcPr>
            <w:tcW w:w="3609" w:type="dxa"/>
            <w:shd w:val="clear" w:color="auto" w:fill="auto"/>
            <w:vAlign w:val="center"/>
          </w:tcPr>
          <w:p>
            <w:pPr>
              <w:jc w:val="center"/>
              <w:rPr>
                <w:i/>
                <w:iCs/>
                <w:noProof/>
                <w:color w:val="000000"/>
                <w:sz w:val="22"/>
                <w:szCs w:val="22"/>
              </w:rPr>
            </w:pPr>
            <w:r>
              <w:rPr>
                <w:i/>
                <w:iCs/>
                <w:noProof/>
                <w:color w:val="000000"/>
                <w:sz w:val="22"/>
                <w:szCs w:val="22"/>
              </w:rPr>
              <w:t>Vouli ton Antiprosopon /</w:t>
            </w:r>
            <w:r>
              <w:rPr>
                <w:i/>
                <w:iCs/>
                <w:noProof/>
                <w:color w:val="000000"/>
                <w:sz w:val="22"/>
                <w:szCs w:val="22"/>
              </w:rPr>
              <w:br/>
              <w:t>Βουλή των Αντιπροσώπων</w:t>
            </w:r>
          </w:p>
        </w:tc>
        <w:tc>
          <w:tcPr>
            <w:tcW w:w="1660" w:type="dxa"/>
            <w:shd w:val="clear" w:color="auto" w:fill="auto"/>
            <w:vAlign w:val="center"/>
          </w:tcPr>
          <w:p>
            <w:pPr>
              <w:jc w:val="center"/>
              <w:rPr>
                <w:noProof/>
                <w:color w:val="000000"/>
                <w:sz w:val="22"/>
                <w:szCs w:val="22"/>
              </w:rPr>
            </w:pPr>
            <w:r>
              <w:rPr>
                <w:noProof/>
                <w:color w:val="000000"/>
                <w:sz w:val="22"/>
                <w:szCs w:val="22"/>
              </w:rPr>
              <w:t>4</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Ujedinjena Kraljevina</w:t>
            </w:r>
          </w:p>
        </w:tc>
        <w:tc>
          <w:tcPr>
            <w:tcW w:w="3609" w:type="dxa"/>
            <w:shd w:val="clear" w:color="auto" w:fill="auto"/>
            <w:vAlign w:val="center"/>
          </w:tcPr>
          <w:p>
            <w:pPr>
              <w:jc w:val="center"/>
              <w:rPr>
                <w:i/>
                <w:noProof/>
                <w:color w:val="000000"/>
                <w:sz w:val="22"/>
                <w:szCs w:val="22"/>
              </w:rPr>
            </w:pPr>
            <w:r>
              <w:rPr>
                <w:i/>
                <w:noProof/>
                <w:color w:val="000000"/>
                <w:sz w:val="22"/>
                <w:szCs w:val="22"/>
              </w:rPr>
              <w:t>House of Commons</w:t>
            </w:r>
          </w:p>
        </w:tc>
        <w:tc>
          <w:tcPr>
            <w:tcW w:w="1660" w:type="dxa"/>
            <w:shd w:val="clear" w:color="auto" w:fill="auto"/>
            <w:vAlign w:val="center"/>
          </w:tcPr>
          <w:p>
            <w:pPr>
              <w:jc w:val="center"/>
              <w:rPr>
                <w:noProof/>
                <w:color w:val="000000"/>
                <w:sz w:val="22"/>
                <w:szCs w:val="22"/>
              </w:rPr>
            </w:pPr>
            <w:r>
              <w:rPr>
                <w:noProof/>
                <w:color w:val="000000"/>
                <w:sz w:val="22"/>
                <w:szCs w:val="22"/>
              </w:rPr>
              <w:t>3</w:t>
            </w:r>
          </w:p>
        </w:tc>
        <w:tc>
          <w:tcPr>
            <w:tcW w:w="2364" w:type="dxa"/>
            <w:shd w:val="clear" w:color="auto" w:fill="auto"/>
            <w:vAlign w:val="center"/>
          </w:tcPr>
          <w:p>
            <w:pPr>
              <w:jc w:val="center"/>
              <w:rPr>
                <w:noProof/>
                <w:color w:val="000000"/>
                <w:sz w:val="22"/>
                <w:szCs w:val="22"/>
              </w:rPr>
            </w:pPr>
            <w:r>
              <w:rPr>
                <w:noProof/>
                <w:color w:val="000000"/>
                <w:sz w:val="22"/>
                <w:szCs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Grčka</w:t>
            </w:r>
          </w:p>
        </w:tc>
        <w:tc>
          <w:tcPr>
            <w:tcW w:w="3609" w:type="dxa"/>
            <w:shd w:val="clear" w:color="auto" w:fill="auto"/>
            <w:vAlign w:val="center"/>
          </w:tcPr>
          <w:p>
            <w:pPr>
              <w:jc w:val="center"/>
              <w:rPr>
                <w:i/>
                <w:iCs/>
                <w:noProof/>
                <w:color w:val="000000"/>
                <w:sz w:val="22"/>
                <w:szCs w:val="22"/>
              </w:rPr>
            </w:pPr>
            <w:r>
              <w:rPr>
                <w:i/>
                <w:iCs/>
                <w:noProof/>
                <w:color w:val="000000"/>
                <w:sz w:val="22"/>
                <w:szCs w:val="22"/>
              </w:rPr>
              <w:t>Vouli ton Ellinon</w:t>
            </w:r>
          </w:p>
        </w:tc>
        <w:tc>
          <w:tcPr>
            <w:tcW w:w="1660" w:type="dxa"/>
            <w:shd w:val="clear" w:color="auto" w:fill="auto"/>
            <w:vAlign w:val="center"/>
          </w:tcPr>
          <w:p>
            <w:pPr>
              <w:jc w:val="center"/>
              <w:rPr>
                <w:noProof/>
                <w:color w:val="000000"/>
                <w:sz w:val="22"/>
                <w:szCs w:val="22"/>
              </w:rPr>
            </w:pPr>
            <w:r>
              <w:rPr>
                <w:noProof/>
                <w:color w:val="000000"/>
                <w:sz w:val="22"/>
                <w:szCs w:val="22"/>
              </w:rPr>
              <w:t>3</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Irska</w:t>
            </w:r>
          </w:p>
        </w:tc>
        <w:tc>
          <w:tcPr>
            <w:tcW w:w="3609" w:type="dxa"/>
            <w:shd w:val="clear" w:color="auto" w:fill="auto"/>
            <w:vAlign w:val="center"/>
          </w:tcPr>
          <w:p>
            <w:pPr>
              <w:jc w:val="center"/>
              <w:rPr>
                <w:noProof/>
                <w:color w:val="000000"/>
                <w:sz w:val="22"/>
                <w:szCs w:val="22"/>
              </w:rPr>
            </w:pPr>
            <w:r>
              <w:rPr>
                <w:i/>
                <w:noProof/>
                <w:color w:val="000000"/>
                <w:sz w:val="22"/>
                <w:szCs w:val="22"/>
              </w:rPr>
              <w:t>Houses of the Oireachtas:</w:t>
            </w:r>
            <w:r>
              <w:rPr>
                <w:noProof/>
                <w:color w:val="000000"/>
                <w:sz w:val="22"/>
                <w:szCs w:val="22"/>
              </w:rPr>
              <w:br/>
            </w:r>
            <w:r>
              <w:rPr>
                <w:i/>
                <w:iCs/>
                <w:noProof/>
                <w:color w:val="000000"/>
                <w:sz w:val="22"/>
                <w:szCs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szCs w:val="22"/>
              </w:rPr>
              <w:t>2</w:t>
            </w:r>
          </w:p>
        </w:tc>
        <w:tc>
          <w:tcPr>
            <w:tcW w:w="2364" w:type="dxa"/>
            <w:shd w:val="clear" w:color="auto" w:fill="auto"/>
            <w:vAlign w:val="center"/>
          </w:tcPr>
          <w:p>
            <w:pPr>
              <w:jc w:val="center"/>
              <w:rPr>
                <w:noProof/>
                <w:color w:val="000000"/>
                <w:sz w:val="22"/>
                <w:szCs w:val="22"/>
              </w:rPr>
            </w:pPr>
            <w:r>
              <w:rPr>
                <w:noProof/>
                <w:color w:val="000000"/>
                <w:sz w:val="22"/>
                <w:szCs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Belgija</w:t>
            </w:r>
          </w:p>
        </w:tc>
        <w:tc>
          <w:tcPr>
            <w:tcW w:w="3609" w:type="dxa"/>
            <w:shd w:val="clear" w:color="auto" w:fill="auto"/>
            <w:vAlign w:val="center"/>
          </w:tcPr>
          <w:p>
            <w:pPr>
              <w:jc w:val="center"/>
              <w:rPr>
                <w:i/>
                <w:iCs/>
                <w:noProof/>
                <w:color w:val="000000"/>
                <w:sz w:val="22"/>
                <w:szCs w:val="22"/>
              </w:rPr>
            </w:pPr>
            <w:r>
              <w:rPr>
                <w:i/>
                <w:iCs/>
                <w:noProof/>
                <w:color w:val="000000"/>
                <w:sz w:val="22"/>
                <w:szCs w:val="22"/>
              </w:rPr>
              <w:t>Chambre des Représentants de Belgique / Belgische Kamer van volksvertegenwoordigers</w:t>
            </w:r>
          </w:p>
        </w:tc>
        <w:tc>
          <w:tcPr>
            <w:tcW w:w="1660" w:type="dxa"/>
            <w:shd w:val="clear" w:color="auto" w:fill="auto"/>
            <w:vAlign w:val="center"/>
          </w:tcPr>
          <w:p>
            <w:pPr>
              <w:jc w:val="center"/>
              <w:rPr>
                <w:noProof/>
                <w:color w:val="000000"/>
                <w:sz w:val="22"/>
                <w:szCs w:val="22"/>
              </w:rPr>
            </w:pPr>
            <w:r>
              <w:rPr>
                <w:noProof/>
                <w:color w:val="000000"/>
                <w:sz w:val="22"/>
                <w:szCs w:val="22"/>
              </w:rPr>
              <w:t>2</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Hrvatska</w:t>
            </w:r>
          </w:p>
        </w:tc>
        <w:tc>
          <w:tcPr>
            <w:tcW w:w="3609" w:type="dxa"/>
            <w:shd w:val="clear" w:color="auto" w:fill="auto"/>
            <w:vAlign w:val="center"/>
          </w:tcPr>
          <w:p>
            <w:pPr>
              <w:jc w:val="center"/>
              <w:rPr>
                <w:i/>
                <w:iCs/>
                <w:noProof/>
                <w:color w:val="000000"/>
                <w:sz w:val="22"/>
                <w:szCs w:val="22"/>
              </w:rPr>
            </w:pPr>
            <w:r>
              <w:rPr>
                <w:i/>
                <w:iCs/>
                <w:noProof/>
                <w:color w:val="000000"/>
                <w:sz w:val="22"/>
                <w:szCs w:val="22"/>
              </w:rPr>
              <w:t xml:space="preserve">Hrvatski sabor </w:t>
            </w:r>
          </w:p>
        </w:tc>
        <w:tc>
          <w:tcPr>
            <w:tcW w:w="1660" w:type="dxa"/>
            <w:shd w:val="clear" w:color="auto" w:fill="auto"/>
            <w:vAlign w:val="center"/>
          </w:tcPr>
          <w:p>
            <w:pPr>
              <w:jc w:val="center"/>
              <w:rPr>
                <w:noProof/>
                <w:color w:val="000000"/>
                <w:sz w:val="22"/>
                <w:szCs w:val="22"/>
              </w:rPr>
            </w:pPr>
            <w:r>
              <w:rPr>
                <w:noProof/>
                <w:color w:val="000000"/>
                <w:sz w:val="22"/>
                <w:szCs w:val="22"/>
              </w:rPr>
              <w:t>2</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Litva</w:t>
            </w:r>
          </w:p>
        </w:tc>
        <w:tc>
          <w:tcPr>
            <w:tcW w:w="3609" w:type="dxa"/>
            <w:shd w:val="clear" w:color="auto" w:fill="auto"/>
            <w:vAlign w:val="center"/>
          </w:tcPr>
          <w:p>
            <w:pPr>
              <w:jc w:val="center"/>
              <w:rPr>
                <w:i/>
                <w:iCs/>
                <w:noProof/>
                <w:color w:val="000000"/>
                <w:sz w:val="22"/>
                <w:szCs w:val="22"/>
              </w:rPr>
            </w:pPr>
            <w:r>
              <w:rPr>
                <w:i/>
                <w:iCs/>
                <w:noProof/>
                <w:color w:val="000000"/>
                <w:sz w:val="22"/>
                <w:szCs w:val="22"/>
              </w:rPr>
              <w:t>Seimas</w:t>
            </w:r>
          </w:p>
        </w:tc>
        <w:tc>
          <w:tcPr>
            <w:tcW w:w="1660" w:type="dxa"/>
            <w:shd w:val="clear" w:color="auto" w:fill="auto"/>
            <w:vAlign w:val="center"/>
          </w:tcPr>
          <w:p>
            <w:pPr>
              <w:jc w:val="center"/>
              <w:rPr>
                <w:noProof/>
                <w:color w:val="000000"/>
                <w:sz w:val="22"/>
                <w:szCs w:val="22"/>
              </w:rPr>
            </w:pPr>
            <w:r>
              <w:rPr>
                <w:noProof/>
                <w:color w:val="000000"/>
                <w:sz w:val="22"/>
                <w:szCs w:val="22"/>
              </w:rPr>
              <w:t>2</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Irska</w:t>
            </w:r>
          </w:p>
        </w:tc>
        <w:tc>
          <w:tcPr>
            <w:tcW w:w="3609" w:type="dxa"/>
            <w:shd w:val="clear" w:color="auto" w:fill="auto"/>
            <w:vAlign w:val="center"/>
          </w:tcPr>
          <w:p>
            <w:pPr>
              <w:jc w:val="center"/>
              <w:rPr>
                <w:noProof/>
                <w:color w:val="000000"/>
                <w:sz w:val="22"/>
                <w:szCs w:val="22"/>
              </w:rPr>
            </w:pPr>
            <w:r>
              <w:rPr>
                <w:i/>
                <w:noProof/>
                <w:color w:val="000000"/>
                <w:sz w:val="22"/>
                <w:szCs w:val="22"/>
              </w:rPr>
              <w:t>Houses of the</w:t>
            </w:r>
            <w:r>
              <w:rPr>
                <w:noProof/>
                <w:color w:val="000000"/>
                <w:sz w:val="22"/>
                <w:szCs w:val="22"/>
              </w:rPr>
              <w:t xml:space="preserve"> </w:t>
            </w:r>
            <w:r>
              <w:rPr>
                <w:i/>
                <w:noProof/>
                <w:color w:val="000000"/>
                <w:sz w:val="22"/>
                <w:szCs w:val="22"/>
              </w:rPr>
              <w:t>Oireachtas:</w:t>
            </w:r>
            <w:r>
              <w:rPr>
                <w:i/>
                <w:noProof/>
                <w:color w:val="000000"/>
                <w:sz w:val="22"/>
                <w:szCs w:val="22"/>
              </w:rPr>
              <w:br/>
              <w:t>Dáil Éireann</w:t>
            </w:r>
            <w:r>
              <w:rPr>
                <w:i/>
                <w:iCs/>
                <w:noProof/>
                <w:color w:val="000000"/>
                <w:sz w:val="22"/>
                <w:szCs w:val="22"/>
              </w:rPr>
              <w:t xml:space="preserve"> </w:t>
            </w:r>
          </w:p>
        </w:tc>
        <w:tc>
          <w:tcPr>
            <w:tcW w:w="1660" w:type="dxa"/>
            <w:shd w:val="clear" w:color="auto" w:fill="auto"/>
            <w:vAlign w:val="center"/>
          </w:tcPr>
          <w:p>
            <w:pPr>
              <w:jc w:val="center"/>
              <w:rPr>
                <w:noProof/>
                <w:color w:val="000000"/>
                <w:sz w:val="22"/>
                <w:szCs w:val="22"/>
              </w:rPr>
            </w:pPr>
            <w:r>
              <w:rPr>
                <w:noProof/>
                <w:color w:val="000000"/>
                <w:sz w:val="22"/>
                <w:szCs w:val="22"/>
              </w:rPr>
              <w:t>1</w:t>
            </w:r>
          </w:p>
        </w:tc>
        <w:tc>
          <w:tcPr>
            <w:tcW w:w="2364" w:type="dxa"/>
            <w:shd w:val="clear" w:color="auto" w:fill="auto"/>
            <w:vAlign w:val="center"/>
          </w:tcPr>
          <w:p>
            <w:pPr>
              <w:jc w:val="center"/>
              <w:rPr>
                <w:noProof/>
                <w:color w:val="000000"/>
                <w:sz w:val="22"/>
                <w:szCs w:val="22"/>
              </w:rPr>
            </w:pPr>
            <w:r>
              <w:rPr>
                <w:noProof/>
                <w:color w:val="000000"/>
                <w:sz w:val="22"/>
                <w:szCs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Austrija</w:t>
            </w:r>
          </w:p>
        </w:tc>
        <w:tc>
          <w:tcPr>
            <w:tcW w:w="3609" w:type="dxa"/>
            <w:shd w:val="clear" w:color="auto" w:fill="auto"/>
            <w:vAlign w:val="center"/>
          </w:tcPr>
          <w:p>
            <w:pPr>
              <w:jc w:val="center"/>
              <w:rPr>
                <w:i/>
                <w:iCs/>
                <w:noProof/>
                <w:color w:val="000000"/>
                <w:sz w:val="22"/>
                <w:szCs w:val="22"/>
              </w:rPr>
            </w:pPr>
            <w:r>
              <w:rPr>
                <w:i/>
                <w:iCs/>
                <w:noProof/>
                <w:color w:val="000000"/>
                <w:sz w:val="22"/>
                <w:szCs w:val="22"/>
              </w:rPr>
              <w:t>Nationalrat</w:t>
            </w:r>
          </w:p>
        </w:tc>
        <w:tc>
          <w:tcPr>
            <w:tcW w:w="1660" w:type="dxa"/>
            <w:shd w:val="clear" w:color="auto" w:fill="auto"/>
            <w:vAlign w:val="center"/>
          </w:tcPr>
          <w:p>
            <w:pPr>
              <w:jc w:val="center"/>
              <w:rPr>
                <w:noProof/>
                <w:color w:val="000000"/>
                <w:sz w:val="22"/>
                <w:szCs w:val="22"/>
              </w:rPr>
            </w:pPr>
            <w:r>
              <w:rPr>
                <w:noProof/>
                <w:color w:val="000000"/>
                <w:sz w:val="22"/>
                <w:szCs w:val="22"/>
              </w:rPr>
              <w:t>1</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Belgija</w:t>
            </w:r>
          </w:p>
        </w:tc>
        <w:tc>
          <w:tcPr>
            <w:tcW w:w="3609" w:type="dxa"/>
            <w:shd w:val="clear" w:color="auto" w:fill="auto"/>
            <w:vAlign w:val="center"/>
          </w:tcPr>
          <w:p>
            <w:pPr>
              <w:jc w:val="center"/>
              <w:rPr>
                <w:i/>
                <w:iCs/>
                <w:noProof/>
                <w:color w:val="000000"/>
                <w:sz w:val="22"/>
                <w:szCs w:val="22"/>
              </w:rPr>
            </w:pPr>
            <w:r>
              <w:rPr>
                <w:i/>
                <w:iCs/>
                <w:noProof/>
                <w:color w:val="000000"/>
                <w:sz w:val="22"/>
                <w:szCs w:val="22"/>
              </w:rPr>
              <w:t>Sénat de Belgique / Belgische Senaat</w:t>
            </w:r>
          </w:p>
        </w:tc>
        <w:tc>
          <w:tcPr>
            <w:tcW w:w="1660" w:type="dxa"/>
            <w:shd w:val="clear" w:color="auto" w:fill="auto"/>
            <w:vAlign w:val="center"/>
          </w:tcPr>
          <w:p>
            <w:pPr>
              <w:jc w:val="center"/>
              <w:rPr>
                <w:noProof/>
                <w:color w:val="000000"/>
                <w:sz w:val="22"/>
                <w:szCs w:val="22"/>
              </w:rPr>
            </w:pPr>
            <w:r>
              <w:rPr>
                <w:noProof/>
                <w:color w:val="000000"/>
                <w:sz w:val="22"/>
                <w:szCs w:val="22"/>
              </w:rPr>
              <w:t>1</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Bugarska</w:t>
            </w:r>
          </w:p>
        </w:tc>
        <w:tc>
          <w:tcPr>
            <w:tcW w:w="3609" w:type="dxa"/>
            <w:shd w:val="clear" w:color="auto" w:fill="auto"/>
            <w:vAlign w:val="center"/>
          </w:tcPr>
          <w:p>
            <w:pPr>
              <w:jc w:val="center"/>
              <w:rPr>
                <w:i/>
                <w:iCs/>
                <w:noProof/>
                <w:color w:val="000000"/>
                <w:sz w:val="22"/>
                <w:szCs w:val="22"/>
              </w:rPr>
            </w:pPr>
            <w:r>
              <w:rPr>
                <w:i/>
                <w:iCs/>
                <w:noProof/>
                <w:color w:val="000000"/>
                <w:sz w:val="22"/>
                <w:szCs w:val="22"/>
              </w:rPr>
              <w:t>Narodno Sabranie</w:t>
            </w:r>
          </w:p>
        </w:tc>
        <w:tc>
          <w:tcPr>
            <w:tcW w:w="1660" w:type="dxa"/>
            <w:shd w:val="clear" w:color="auto" w:fill="auto"/>
            <w:vAlign w:val="center"/>
          </w:tcPr>
          <w:p>
            <w:pPr>
              <w:jc w:val="center"/>
              <w:rPr>
                <w:noProof/>
                <w:color w:val="000000"/>
                <w:sz w:val="22"/>
                <w:szCs w:val="22"/>
              </w:rPr>
            </w:pPr>
            <w:r>
              <w:rPr>
                <w:noProof/>
                <w:color w:val="000000"/>
                <w:sz w:val="22"/>
                <w:szCs w:val="22"/>
              </w:rPr>
              <w:t>1</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Luksemburg</w:t>
            </w:r>
          </w:p>
        </w:tc>
        <w:tc>
          <w:tcPr>
            <w:tcW w:w="3609" w:type="dxa"/>
            <w:shd w:val="clear" w:color="auto" w:fill="auto"/>
            <w:vAlign w:val="center"/>
          </w:tcPr>
          <w:p>
            <w:pPr>
              <w:jc w:val="center"/>
              <w:rPr>
                <w:i/>
                <w:iCs/>
                <w:noProof/>
                <w:color w:val="000000"/>
                <w:sz w:val="22"/>
                <w:szCs w:val="22"/>
              </w:rPr>
            </w:pPr>
            <w:r>
              <w:rPr>
                <w:i/>
                <w:iCs/>
                <w:noProof/>
                <w:color w:val="000000"/>
                <w:sz w:val="22"/>
                <w:szCs w:val="22"/>
              </w:rPr>
              <w:t>Chambre des Députés</w:t>
            </w:r>
          </w:p>
        </w:tc>
        <w:tc>
          <w:tcPr>
            <w:tcW w:w="1660" w:type="dxa"/>
            <w:shd w:val="clear" w:color="auto" w:fill="auto"/>
            <w:vAlign w:val="center"/>
          </w:tcPr>
          <w:p>
            <w:pPr>
              <w:jc w:val="center"/>
              <w:rPr>
                <w:noProof/>
                <w:color w:val="000000"/>
                <w:sz w:val="22"/>
                <w:szCs w:val="22"/>
              </w:rPr>
            </w:pPr>
            <w:r>
              <w:rPr>
                <w:noProof/>
                <w:color w:val="000000"/>
                <w:sz w:val="22"/>
                <w:szCs w:val="22"/>
              </w:rPr>
              <w:t>1</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Malta</w:t>
            </w:r>
          </w:p>
        </w:tc>
        <w:tc>
          <w:tcPr>
            <w:tcW w:w="3609" w:type="dxa"/>
            <w:shd w:val="clear" w:color="auto" w:fill="auto"/>
            <w:vAlign w:val="center"/>
          </w:tcPr>
          <w:p>
            <w:pPr>
              <w:jc w:val="center"/>
              <w:rPr>
                <w:i/>
                <w:iCs/>
                <w:noProof/>
                <w:color w:val="000000"/>
                <w:sz w:val="22"/>
                <w:szCs w:val="22"/>
              </w:rPr>
            </w:pPr>
            <w:r>
              <w:rPr>
                <w:i/>
                <w:iCs/>
                <w:noProof/>
                <w:color w:val="000000"/>
                <w:sz w:val="22"/>
                <w:szCs w:val="22"/>
              </w:rPr>
              <w:t>Kamra tad-Deputati</w:t>
            </w:r>
          </w:p>
        </w:tc>
        <w:tc>
          <w:tcPr>
            <w:tcW w:w="1660" w:type="dxa"/>
            <w:shd w:val="clear" w:color="auto" w:fill="auto"/>
            <w:vAlign w:val="center"/>
          </w:tcPr>
          <w:p>
            <w:pPr>
              <w:jc w:val="center"/>
              <w:rPr>
                <w:noProof/>
                <w:color w:val="000000"/>
                <w:sz w:val="22"/>
                <w:szCs w:val="22"/>
              </w:rPr>
            </w:pPr>
            <w:r>
              <w:rPr>
                <w:noProof/>
                <w:color w:val="000000"/>
                <w:sz w:val="22"/>
                <w:szCs w:val="22"/>
              </w:rPr>
              <w:t>1</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Slovenija</w:t>
            </w:r>
          </w:p>
        </w:tc>
        <w:tc>
          <w:tcPr>
            <w:tcW w:w="3609" w:type="dxa"/>
            <w:shd w:val="clear" w:color="auto" w:fill="auto"/>
            <w:vAlign w:val="center"/>
          </w:tcPr>
          <w:p>
            <w:pPr>
              <w:jc w:val="center"/>
              <w:rPr>
                <w:i/>
                <w:iCs/>
                <w:noProof/>
                <w:color w:val="000000"/>
                <w:sz w:val="22"/>
                <w:szCs w:val="22"/>
              </w:rPr>
            </w:pPr>
            <w:r>
              <w:rPr>
                <w:i/>
                <w:iCs/>
                <w:noProof/>
                <w:color w:val="000000"/>
                <w:sz w:val="22"/>
                <w:szCs w:val="22"/>
              </w:rPr>
              <w:t>Državni svet</w:t>
            </w:r>
          </w:p>
        </w:tc>
        <w:tc>
          <w:tcPr>
            <w:tcW w:w="1660" w:type="dxa"/>
            <w:shd w:val="clear" w:color="auto" w:fill="auto"/>
            <w:vAlign w:val="center"/>
          </w:tcPr>
          <w:p>
            <w:pPr>
              <w:jc w:val="center"/>
              <w:rPr>
                <w:noProof/>
                <w:color w:val="000000"/>
                <w:sz w:val="22"/>
                <w:szCs w:val="22"/>
              </w:rPr>
            </w:pPr>
            <w:r>
              <w:rPr>
                <w:noProof/>
                <w:color w:val="000000"/>
                <w:sz w:val="22"/>
                <w:szCs w:val="22"/>
              </w:rPr>
              <w:t>1</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Estonija</w:t>
            </w:r>
          </w:p>
        </w:tc>
        <w:tc>
          <w:tcPr>
            <w:tcW w:w="3609" w:type="dxa"/>
            <w:shd w:val="clear" w:color="auto" w:fill="auto"/>
            <w:vAlign w:val="center"/>
          </w:tcPr>
          <w:p>
            <w:pPr>
              <w:jc w:val="center"/>
              <w:rPr>
                <w:i/>
                <w:iCs/>
                <w:noProof/>
                <w:color w:val="000000"/>
                <w:sz w:val="22"/>
                <w:szCs w:val="22"/>
              </w:rPr>
            </w:pPr>
            <w:r>
              <w:rPr>
                <w:i/>
                <w:iCs/>
                <w:noProof/>
                <w:color w:val="000000"/>
                <w:sz w:val="22"/>
                <w:szCs w:val="22"/>
              </w:rPr>
              <w:t>Riigikogu</w:t>
            </w:r>
          </w:p>
        </w:tc>
        <w:tc>
          <w:tcPr>
            <w:tcW w:w="1660" w:type="dxa"/>
            <w:shd w:val="clear" w:color="auto" w:fill="auto"/>
            <w:vAlign w:val="center"/>
          </w:tcPr>
          <w:p>
            <w:pPr>
              <w:jc w:val="center"/>
              <w:rPr>
                <w:noProof/>
                <w:color w:val="000000"/>
                <w:sz w:val="22"/>
                <w:szCs w:val="22"/>
              </w:rPr>
            </w:pPr>
            <w:r>
              <w:rPr>
                <w:noProof/>
                <w:color w:val="000000"/>
                <w:sz w:val="22"/>
                <w:szCs w:val="22"/>
              </w:rPr>
              <w:t>0</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Finska</w:t>
            </w:r>
          </w:p>
        </w:tc>
        <w:tc>
          <w:tcPr>
            <w:tcW w:w="3609" w:type="dxa"/>
            <w:shd w:val="clear" w:color="auto" w:fill="auto"/>
            <w:vAlign w:val="center"/>
          </w:tcPr>
          <w:p>
            <w:pPr>
              <w:jc w:val="center"/>
              <w:rPr>
                <w:i/>
                <w:iCs/>
                <w:noProof/>
                <w:color w:val="000000"/>
                <w:sz w:val="22"/>
                <w:szCs w:val="22"/>
              </w:rPr>
            </w:pPr>
            <w:r>
              <w:rPr>
                <w:i/>
                <w:iCs/>
                <w:noProof/>
                <w:color w:val="000000"/>
                <w:sz w:val="22"/>
                <w:szCs w:val="22"/>
              </w:rPr>
              <w:t>Eduskunta</w:t>
            </w:r>
          </w:p>
        </w:tc>
        <w:tc>
          <w:tcPr>
            <w:tcW w:w="1660" w:type="dxa"/>
            <w:shd w:val="clear" w:color="auto" w:fill="auto"/>
            <w:vAlign w:val="center"/>
          </w:tcPr>
          <w:p>
            <w:pPr>
              <w:jc w:val="center"/>
              <w:rPr>
                <w:noProof/>
                <w:color w:val="000000"/>
                <w:sz w:val="22"/>
                <w:szCs w:val="22"/>
              </w:rPr>
            </w:pPr>
            <w:r>
              <w:rPr>
                <w:noProof/>
                <w:color w:val="000000"/>
                <w:sz w:val="22"/>
                <w:szCs w:val="22"/>
              </w:rPr>
              <w:t>0</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Latvija</w:t>
            </w:r>
          </w:p>
        </w:tc>
        <w:tc>
          <w:tcPr>
            <w:tcW w:w="3609" w:type="dxa"/>
            <w:shd w:val="clear" w:color="auto" w:fill="auto"/>
            <w:vAlign w:val="center"/>
          </w:tcPr>
          <w:p>
            <w:pPr>
              <w:jc w:val="center"/>
              <w:rPr>
                <w:i/>
                <w:iCs/>
                <w:noProof/>
                <w:color w:val="000000"/>
                <w:sz w:val="22"/>
                <w:szCs w:val="22"/>
              </w:rPr>
            </w:pPr>
            <w:r>
              <w:rPr>
                <w:i/>
                <w:iCs/>
                <w:noProof/>
                <w:color w:val="000000"/>
                <w:sz w:val="22"/>
                <w:szCs w:val="22"/>
              </w:rPr>
              <w:t>Saeima</w:t>
            </w:r>
          </w:p>
        </w:tc>
        <w:tc>
          <w:tcPr>
            <w:tcW w:w="1660" w:type="dxa"/>
            <w:shd w:val="clear" w:color="auto" w:fill="auto"/>
            <w:vAlign w:val="center"/>
          </w:tcPr>
          <w:p>
            <w:pPr>
              <w:jc w:val="center"/>
              <w:rPr>
                <w:noProof/>
                <w:color w:val="000000"/>
                <w:sz w:val="22"/>
                <w:szCs w:val="22"/>
              </w:rPr>
            </w:pPr>
            <w:r>
              <w:rPr>
                <w:noProof/>
                <w:color w:val="000000"/>
                <w:sz w:val="22"/>
                <w:szCs w:val="22"/>
              </w:rPr>
              <w:t>0</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szCs w:val="22"/>
              </w:rPr>
              <w:t>Slovenija</w:t>
            </w:r>
          </w:p>
        </w:tc>
        <w:tc>
          <w:tcPr>
            <w:tcW w:w="3609" w:type="dxa"/>
            <w:shd w:val="clear" w:color="auto" w:fill="auto"/>
            <w:vAlign w:val="center"/>
          </w:tcPr>
          <w:p>
            <w:pPr>
              <w:jc w:val="center"/>
              <w:rPr>
                <w:i/>
                <w:iCs/>
                <w:noProof/>
                <w:color w:val="000000"/>
                <w:sz w:val="22"/>
                <w:szCs w:val="22"/>
              </w:rPr>
            </w:pPr>
            <w:r>
              <w:rPr>
                <w:i/>
                <w:iCs/>
                <w:noProof/>
                <w:color w:val="000000"/>
                <w:sz w:val="22"/>
                <w:szCs w:val="22"/>
              </w:rPr>
              <w:t>Državni zbor</w:t>
            </w:r>
          </w:p>
        </w:tc>
        <w:tc>
          <w:tcPr>
            <w:tcW w:w="1660" w:type="dxa"/>
            <w:shd w:val="clear" w:color="auto" w:fill="auto"/>
            <w:vAlign w:val="center"/>
          </w:tcPr>
          <w:p>
            <w:pPr>
              <w:jc w:val="center"/>
              <w:rPr>
                <w:noProof/>
                <w:color w:val="000000"/>
                <w:sz w:val="22"/>
                <w:szCs w:val="22"/>
              </w:rPr>
            </w:pPr>
            <w:r>
              <w:rPr>
                <w:noProof/>
                <w:color w:val="000000"/>
                <w:sz w:val="22"/>
                <w:szCs w:val="22"/>
              </w:rPr>
              <w:t>0</w:t>
            </w:r>
          </w:p>
        </w:tc>
        <w:tc>
          <w:tcPr>
            <w:tcW w:w="2364" w:type="dxa"/>
            <w:shd w:val="clear" w:color="auto" w:fill="auto"/>
            <w:vAlign w:val="center"/>
          </w:tcPr>
          <w:p>
            <w:pPr>
              <w:jc w:val="center"/>
              <w:rPr>
                <w:noProof/>
                <w:color w:val="000000"/>
                <w:sz w:val="22"/>
                <w:szCs w:val="22"/>
              </w:rPr>
            </w:pPr>
            <w:r>
              <w:rPr>
                <w:noProof/>
                <w:color w:val="000000"/>
                <w:sz w:val="22"/>
                <w:szCs w:val="22"/>
              </w:rPr>
              <w:t>0</w:t>
            </w:r>
          </w:p>
        </w:tc>
      </w:tr>
      <w:tr>
        <w:trPr>
          <w:cantSplit/>
        </w:trPr>
        <w:tc>
          <w:tcPr>
            <w:tcW w:w="5518" w:type="dxa"/>
            <w:gridSpan w:val="2"/>
            <w:shd w:val="clear" w:color="auto" w:fill="auto"/>
            <w:vAlign w:val="center"/>
          </w:tcPr>
          <w:p>
            <w:pPr>
              <w:jc w:val="center"/>
              <w:rPr>
                <w:b/>
                <w:noProof/>
                <w:sz w:val="22"/>
                <w:szCs w:val="22"/>
              </w:rPr>
            </w:pPr>
            <w:r>
              <w:rPr>
                <w:b/>
                <w:noProof/>
                <w:sz w:val="22"/>
                <w:szCs w:val="22"/>
              </w:rPr>
              <w:t>UKUPNO</w:t>
            </w:r>
          </w:p>
        </w:tc>
        <w:tc>
          <w:tcPr>
            <w:tcW w:w="1660" w:type="dxa"/>
            <w:shd w:val="clear" w:color="auto" w:fill="auto"/>
          </w:tcPr>
          <w:p>
            <w:pPr>
              <w:jc w:val="center"/>
              <w:rPr>
                <w:b/>
                <w:noProof/>
                <w:sz w:val="22"/>
                <w:szCs w:val="22"/>
              </w:rPr>
            </w:pPr>
            <w:r>
              <w:rPr>
                <w:b/>
                <w:noProof/>
                <w:sz w:val="22"/>
                <w:szCs w:val="22"/>
              </w:rPr>
              <w:t>576</w:t>
            </w:r>
          </w:p>
        </w:tc>
        <w:tc>
          <w:tcPr>
            <w:tcW w:w="2364" w:type="dxa"/>
            <w:shd w:val="clear" w:color="auto" w:fill="auto"/>
          </w:tcPr>
          <w:p>
            <w:pPr>
              <w:jc w:val="center"/>
              <w:rPr>
                <w:b/>
                <w:noProof/>
                <w:sz w:val="22"/>
                <w:szCs w:val="22"/>
              </w:rPr>
            </w:pPr>
            <w:r>
              <w:rPr>
                <w:b/>
                <w:noProof/>
                <w:sz w:val="22"/>
                <w:szCs w:val="22"/>
              </w:rPr>
              <w:t>52</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PRILOG 2.</w:t>
      </w:r>
    </w:p>
    <w:p>
      <w:pPr>
        <w:spacing w:after="240"/>
        <w:jc w:val="center"/>
        <w:rPr>
          <w:b/>
          <w:noProof/>
        </w:rPr>
      </w:pPr>
      <w:r>
        <w:rPr>
          <w:b/>
          <w:noProof/>
        </w:rPr>
        <w:t>Dokumenti Komisije koji su potaknuli najveći broj mišljenja</w:t>
      </w:r>
      <w:r>
        <w:rPr>
          <w:rStyle w:val="FootnoteReference"/>
          <w:noProof/>
        </w:rPr>
        <w:footnoteReference w:id="4"/>
      </w:r>
      <w:r>
        <w:rPr>
          <w:b/>
          <w:noProof/>
        </w:rPr>
        <w:t xml:space="preserve"> koje je Komisija zaprimila 2017. (politički dijalog i mehanizam kontrole poštovanja načela supsidijarnosti)</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lang w:eastAsia="en-GB"/>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Dokument</w:t>
            </w:r>
            <w:r>
              <w:rPr>
                <w:b/>
                <w:bCs/>
                <w:noProof/>
                <w:color w:val="000000"/>
                <w:sz w:val="22"/>
                <w:szCs w:val="22"/>
              </w:rPr>
              <w:br/>
              <w:t>Komisije</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Naslov</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Ukupan</w:t>
            </w:r>
            <w:r>
              <w:rPr>
                <w:b/>
                <w:bCs/>
                <w:noProof/>
                <w:color w:val="000000"/>
                <w:sz w:val="22"/>
                <w:szCs w:val="22"/>
              </w:rPr>
              <w:br/>
              <w:t>broj</w:t>
            </w:r>
            <w:r>
              <w:rPr>
                <w:b/>
                <w:bCs/>
                <w:noProof/>
                <w:color w:val="000000"/>
                <w:sz w:val="22"/>
                <w:szCs w:val="22"/>
              </w:rPr>
              <w:br/>
            </w:r>
            <w:r>
              <w:rPr>
                <w:b/>
                <w:bCs/>
                <w:noProof/>
                <w:color w:val="000000"/>
                <w:sz w:val="22"/>
                <w:szCs w:val="22"/>
              </w:rPr>
              <w:br/>
              <w:t>mišljenja</w:t>
            </w:r>
            <w:r>
              <w:rPr>
                <w:rStyle w:val="FootnoteReference"/>
                <w:b/>
                <w:bCs/>
                <w:noProof/>
                <w:color w:val="000000"/>
                <w:sz w:val="22"/>
                <w:szCs w:val="22"/>
                <w:lang w:eastAsia="en-GB"/>
              </w:rPr>
              <w:footnoteReference w:id="5"/>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bCs/>
                <w:noProof/>
                <w:color w:val="000000"/>
                <w:sz w:val="22"/>
                <w:szCs w:val="22"/>
              </w:rPr>
              <w:t>Broj</w:t>
            </w:r>
            <w:r>
              <w:rPr>
                <w:b/>
                <w:bCs/>
                <w:noProof/>
                <w:color w:val="000000"/>
                <w:sz w:val="22"/>
                <w:szCs w:val="22"/>
              </w:rPr>
              <w:br/>
              <w:t>obrazloženih</w:t>
            </w:r>
            <w:r>
              <w:rPr>
                <w:b/>
                <w:bCs/>
                <w:noProof/>
                <w:color w:val="000000"/>
                <w:sz w:val="22"/>
                <w:szCs w:val="22"/>
              </w:rPr>
              <w:br/>
              <w:t>mišljenja</w:t>
            </w:r>
            <w:r>
              <w:rPr>
                <w:b/>
                <w:bCs/>
                <w:noProof/>
                <w:color w:val="000000"/>
                <w:sz w:val="22"/>
                <w:szCs w:val="22"/>
              </w:rPr>
              <w:br/>
              <w:t>(Protokol br. 2)</w:t>
            </w:r>
            <w:r>
              <w:rPr>
                <w:rStyle w:val="FootnoteReference"/>
                <w:b/>
                <w:bCs/>
                <w:noProof/>
                <w:color w:val="000000"/>
                <w:sz w:val="22"/>
                <w:szCs w:val="22"/>
                <w:lang w:eastAsia="en-GB"/>
              </w:rPr>
              <w:footnoteReference w:id="6"/>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COM(2016) 861</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szCs w:val="22"/>
              </w:rPr>
              <w:t>Prijedlog uredbe Europskog parlamenta i Vijeća o unutarnjem tržištu električne energije (preinaka)</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16</w:t>
            </w:r>
            <w:r>
              <w:rPr>
                <w:rStyle w:val="FootnoteReference"/>
                <w:noProof/>
                <w:color w:val="000000"/>
                <w:sz w:val="22"/>
                <w:szCs w:val="22"/>
                <w:lang w:eastAsia="en-GB"/>
              </w:rPr>
              <w:footnoteReference w:id="7"/>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11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COM(2017) 253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Prijedlog direktive Europskog parlamenta i Vijeća o ravnoteži između poslovnog i privatnog života roditelja i skrbnika i o stavljanju izvan snage Direktive Vijeća 2010/18/EU</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10</w:t>
            </w:r>
            <w:r>
              <w:rPr>
                <w:rStyle w:val="FootnoteReference"/>
                <w:noProof/>
                <w:color w:val="000000"/>
                <w:sz w:val="22"/>
                <w:szCs w:val="22"/>
                <w:lang w:eastAsia="en-GB"/>
              </w:rPr>
              <w:footnoteReference w:id="8"/>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COM(2016) 864</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Prijedlog direktive Europskog parlamenta i Vijeća o zajedničkim pravilima za unutarnje tržište električne energije (preinaka)</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10</w:t>
            </w:r>
            <w:r>
              <w:rPr>
                <w:rStyle w:val="FootnoteReference"/>
                <w:noProof/>
                <w:color w:val="000000"/>
                <w:sz w:val="22"/>
                <w:szCs w:val="22"/>
                <w:lang w:eastAsia="en-GB"/>
              </w:rPr>
              <w:footnoteReference w:id="9"/>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COM(2016) 767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Prijedlog direktive Europskog parlamenta i Vijeća o promicanju uporabe energije iz obnovljivih izvora (preinaka)</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10</w:t>
            </w:r>
            <w:r>
              <w:rPr>
                <w:rStyle w:val="FootnoteReference"/>
                <w:noProof/>
                <w:color w:val="000000"/>
                <w:sz w:val="22"/>
                <w:szCs w:val="22"/>
                <w:lang w:eastAsia="en-GB"/>
              </w:rPr>
              <w:footnoteReference w:id="10"/>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COM(2017) 10</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szCs w:val="22"/>
              </w:rPr>
              <w:t>Prijedlog uredbe Europskog parlamenta i Vijeća o poštovanju privatnog života i zaštiti osobnih podataka u elektroničkim komunikacijama te stavljanju izvan snage Direktive 2002/58/EZ (Uredba o privatnosti i elektroničkim komunikacijama)</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10</w:t>
            </w:r>
            <w:r>
              <w:rPr>
                <w:rStyle w:val="FootnoteReference"/>
                <w:noProof/>
                <w:color w:val="000000"/>
                <w:sz w:val="22"/>
                <w:szCs w:val="22"/>
                <w:lang w:eastAsia="en-GB"/>
              </w:rPr>
              <w:footnoteReference w:id="11"/>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6</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COM(2016) 822</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Prijedlog direktive Europskog parlamenta i Vijeća o ispitivanju proporcionalnosti prije donošenja novih propisa kojima se uređuju profesije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9</w:t>
            </w:r>
            <w:r>
              <w:rPr>
                <w:rStyle w:val="FootnoteReference"/>
                <w:noProof/>
                <w:color w:val="000000"/>
                <w:sz w:val="22"/>
                <w:szCs w:val="22"/>
                <w:lang w:eastAsia="en-GB"/>
              </w:rPr>
              <w:footnoteReference w:id="12"/>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5</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COM(2016) 863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Prijedlog uredbe Europskog parlamenta i Vijeća o osnivanju Agencije Europske unije za suradnju energetskih regulatora (preinaka)</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9</w:t>
            </w:r>
            <w:r>
              <w:rPr>
                <w:rStyle w:val="FootnoteReference"/>
                <w:noProof/>
                <w:color w:val="000000"/>
                <w:sz w:val="22"/>
                <w:szCs w:val="22"/>
                <w:lang w:eastAsia="en-GB"/>
              </w:rPr>
              <w:footnoteReference w:id="13"/>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8</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COM(2016) 821</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Prijedlog direktive Europskog parlamenta i Vijeća o provedbi Direktive 2006/123/EZ o uslugama na unutarnjem tržištu, kojom se utvrđuje postupak obavješćivanja kad je riječ o sustavima ovlašćivanja i zahtjevima povezanima s uslugama te o izmjeni Direktive 2006/123/EZ i Uredbe (EU) br. 1024/2012 o administrativnoj suradnji putem Informacijskog sustava unutarnjeg tržišta</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8</w:t>
            </w:r>
            <w:r>
              <w:rPr>
                <w:rStyle w:val="FootnoteReference"/>
                <w:noProof/>
                <w:color w:val="000000"/>
                <w:sz w:val="22"/>
                <w:szCs w:val="22"/>
                <w:lang w:eastAsia="en-GB"/>
              </w:rPr>
              <w:footnoteReference w:id="14"/>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9</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COM(2016) 815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 xml:space="preserve">Prijedlog uredbe Europskog parlamenta i Vijeća o izmjeni Uredbe (EZ) br. 883/2004 o koordinaciji sustava socijalne sigurnosti i Uredbe (EZ) br. 987/2009 o utvrđivanju postupka provedbe Uredbe (EZ) br. 883/2004 </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10</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COM(2016) 710</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Program rada Komisije za 2017. Izgradnja Europe koja štiti, osnažuje i brani</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11</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COM(2016) 765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Prijedlog direktive Europskog parlamenta i Vijeća o izmjeni Direktive 2010/31/EU o energetskim svojstvima zgrada</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r>
              <w:rPr>
                <w:rStyle w:val="FootnoteReference"/>
                <w:noProof/>
                <w:color w:val="000000"/>
                <w:sz w:val="22"/>
                <w:szCs w:val="22"/>
                <w:lang w:eastAsia="en-GB"/>
              </w:rPr>
              <w:footnoteReference w:id="15"/>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COM(2016) 723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Prijedlog direktive Europskog parlamenta i Vijeća o okvirima za preventivno restrukturiranje, pružanju druge prilike i mjerama za povećanje učinkovitosti restrukturiranja i postupaka u pogledu nesolventnosti i razrješenja te izmjeni Direktive 2012/30/EU</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COM(2016) 759</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Prijedlog uredbe Europskog parlamenta i Vijeća o upravljanju energetskom unijom, izmjeni Direktive 94/22/EZ, Direktive 98/70/EZ, Direktive 2009/31/EZ, Uredbe (EZ) br. 663/2009, Uredbe (EZ) br. 715/2009, Direktive 2009/73/EZ, Direktive Vijeća 2009/119/EZ, Direktive 2010/31/EU, Direktive 2012/27/EU, Direktive 2013/30/EU i Direktive Vijeća (EU) 2015/652 te stavljanju izvan snage Uredbe (EU) br. 525/2013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r>
              <w:rPr>
                <w:rStyle w:val="FootnoteReference"/>
                <w:noProof/>
                <w:color w:val="000000"/>
                <w:sz w:val="22"/>
                <w:szCs w:val="22"/>
                <w:lang w:eastAsia="en-GB"/>
              </w:rPr>
              <w:footnoteReference w:id="16"/>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szCs w:val="22"/>
              </w:rPr>
              <w:t>14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szCs w:val="22"/>
              </w:rPr>
              <w:t>COM(2017) 277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szCs w:val="22"/>
              </w:rPr>
              <w:t>Prijedlog uredbe Europskog parlamenta i Vijeća o izmjeni Uredbe (EZ) br. 561/2006 s obzirom na minimalne zahtjeve u pogledu maksimalnih dnevnih i tjednih vremena vožnje, minimalnih stanki te dnevnih i tjednih razdoblja odmora i Uredbe (EU) 165/2014 s obzirom na pozicioniranje s pomoću tahografa</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7</w:t>
            </w:r>
            <w:r>
              <w:rPr>
                <w:rStyle w:val="FootnoteReference"/>
                <w:noProof/>
                <w:color w:val="000000"/>
                <w:sz w:val="22"/>
                <w:szCs w:val="22"/>
                <w:lang w:eastAsia="en-GB"/>
              </w:rPr>
              <w:footnoteReference w:id="17"/>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szCs w:val="22"/>
              </w:rPr>
              <w:t>0</w:t>
            </w:r>
          </w:p>
        </w:tc>
      </w:tr>
    </w:tbl>
    <w:p>
      <w:pPr>
        <w:rPr>
          <w:b/>
          <w:noProof/>
        </w:rPr>
      </w:pPr>
      <w:r>
        <w:rPr>
          <w:noProof/>
        </w:rPr>
        <w:br w:type="page"/>
      </w:r>
    </w:p>
    <w:p>
      <w:pPr>
        <w:spacing w:after="240"/>
        <w:jc w:val="center"/>
        <w:rPr>
          <w:b/>
          <w:noProof/>
          <w:u w:val="single"/>
        </w:rPr>
      </w:pPr>
      <w:r>
        <w:rPr>
          <w:b/>
          <w:noProof/>
          <w:u w:val="single"/>
        </w:rPr>
        <w:t>PRILOG 3.</w:t>
      </w:r>
    </w:p>
    <w:p>
      <w:pPr>
        <w:spacing w:after="240"/>
        <w:jc w:val="center"/>
        <w:rPr>
          <w:b/>
          <w:noProof/>
        </w:rPr>
      </w:pPr>
      <w:r>
        <w:rPr>
          <w:b/>
          <w:noProof/>
        </w:rPr>
        <w:t>Broj mišljenja koja je Komisija zaprimila 2017. prema nadležnoj službi Komisije (politički dijalog i mehanizam kontrole poštovanja načela supsidijarnosti)</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7084"/>
        <w:gridCol w:w="2056"/>
      </w:tblGrid>
      <w:tr>
        <w:trPr>
          <w:trHeight w:val="340"/>
        </w:trPr>
        <w:tc>
          <w:tcPr>
            <w:tcW w:w="0" w:type="auto"/>
            <w:vAlign w:val="center"/>
          </w:tcPr>
          <w:p>
            <w:pPr>
              <w:jc w:val="center"/>
              <w:rPr>
                <w:rFonts w:ascii="Times New Roman" w:hAnsi="Times New Roman" w:cs="Times New Roman"/>
                <w:b/>
                <w:noProof/>
                <w:sz w:val="22"/>
              </w:rPr>
            </w:pPr>
            <w:r>
              <w:rPr>
                <w:rFonts w:ascii="Times New Roman" w:hAnsi="Times New Roman"/>
                <w:b/>
                <w:noProof/>
                <w:sz w:val="22"/>
              </w:rPr>
              <w:t>Nadležna služba Komisije</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Ukupan broj</w:t>
            </w:r>
            <w:r>
              <w:rPr>
                <w:rFonts w:ascii="Times New Roman" w:hAnsi="Times New Roman"/>
                <w:b/>
                <w:noProof/>
                <w:sz w:val="22"/>
              </w:rPr>
              <w:br/>
              <w:t>mišljenja</w:t>
            </w:r>
            <w:r>
              <w:rPr>
                <w:rStyle w:val="FootnoteReference"/>
                <w:rFonts w:ascii="Times New Roman" w:hAnsi="Times New Roman" w:cs="Times New Roman"/>
                <w:noProof/>
                <w:sz w:val="22"/>
              </w:rPr>
              <w:footnoteReference w:id="18"/>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Glavno tajništvo</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energetiku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unutarnje tržište, industriju, poduzetništvo te mala i srednja poduzeća (GROW)</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52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migracije i unutarnje poslove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pravosuđe i zaštitu potrošača</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mobilnost i promet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GU za financijsku stabilnost, financijske usluge i uniju tržišta kapitala (FISMA)</w:t>
            </w:r>
          </w:p>
        </w:tc>
        <w:tc>
          <w:tcPr>
            <w:tcW w:w="2234" w:type="dxa"/>
            <w:noWrap/>
          </w:tcPr>
          <w:p>
            <w:pPr>
              <w:jc w:val="center"/>
              <w:rPr>
                <w:rFonts w:ascii="Times New Roman" w:hAnsi="Times New Roman" w:cs="Times New Roman"/>
                <w:noProof/>
                <w:sz w:val="22"/>
              </w:rPr>
            </w:pPr>
            <w:r>
              <w:rPr>
                <w:rFonts w:ascii="Times New Roman" w:hAnsi="Times New Roman"/>
                <w:noProof/>
                <w:sz w:val="22"/>
              </w:rPr>
              <w:t>33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komunikacijske mreže, sadržaje i tehnologije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oporezivanje i carinsku uniju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29</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obrazovanje, mlade, sport i kulturu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zapošljavanje, socijalna pitanja i uključivanje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poljoprivredu i ruralni razvoj</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okoliš</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Europska služba za vanjsko djelovanje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r>
              <w:rPr>
                <w:rStyle w:val="FootnoteReference"/>
                <w:rFonts w:ascii="Times New Roman" w:hAnsi="Times New Roman" w:cs="Times New Roman"/>
                <w:noProof/>
                <w:sz w:val="22"/>
              </w:rPr>
              <w:footnoteReference w:id="19"/>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trgovinu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Radna skupina na temelju članka 50.</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9</w:t>
            </w:r>
            <w:r>
              <w:rPr>
                <w:rStyle w:val="FootnoteReference"/>
                <w:rFonts w:ascii="Times New Roman" w:hAnsi="Times New Roman" w:cs="Times New Roman"/>
                <w:noProof/>
                <w:sz w:val="22"/>
              </w:rPr>
              <w:footnoteReference w:id="20"/>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Eurostat – europska statistika</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tržišno natjecanje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regionalnu i urbanu politiku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GU za proračun</w:t>
            </w:r>
          </w:p>
        </w:tc>
        <w:tc>
          <w:tcPr>
            <w:tcW w:w="2234" w:type="dxa"/>
            <w:noWrap/>
          </w:tcPr>
          <w:p>
            <w:pPr>
              <w:jc w:val="center"/>
              <w:rPr>
                <w:rFonts w:ascii="Times New Roman" w:hAnsi="Times New Roman" w:cs="Times New Roman"/>
                <w:noProof/>
                <w:sz w:val="22"/>
              </w:rPr>
            </w:pPr>
            <w:r>
              <w:rPr>
                <w:rFonts w:ascii="Times New Roman" w:hAnsi="Times New Roman"/>
                <w:noProof/>
                <w:sz w:val="22"/>
              </w:rPr>
              <w:t>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gospodarske i financijske poslove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pomorstvo i ribarstvo</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GU za međunarodnu suradnju i razvoj</w:t>
            </w:r>
          </w:p>
        </w:tc>
        <w:tc>
          <w:tcPr>
            <w:tcW w:w="2234" w:type="dxa"/>
            <w:noWrap/>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europsku susjedsku politiku i pregovore o proširenju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istraživanje i inovacije (RTD)</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zdravlje i sigurnost hrane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GU za klimatsku politiku</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w:t>
            </w:r>
          </w:p>
        </w:tc>
      </w:tr>
      <w:tr>
        <w:trPr>
          <w:trHeight w:val="340"/>
        </w:trPr>
        <w:tc>
          <w:tcPr>
            <w:tcW w:w="0" w:type="auto"/>
            <w:vAlign w:val="center"/>
          </w:tcPr>
          <w:p>
            <w:pPr>
              <w:rPr>
                <w:rFonts w:ascii="Times New Roman" w:hAnsi="Times New Roman" w:cs="Times New Roman"/>
                <w:noProof/>
                <w:sz w:val="22"/>
              </w:rPr>
            </w:pPr>
            <w:r>
              <w:rPr>
                <w:rFonts w:ascii="Times New Roman" w:hAnsi="Times New Roman"/>
                <w:noProof/>
                <w:sz w:val="22"/>
              </w:rPr>
              <w:t>UKUPNO</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576</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Broj uključuje mišljenja i obrazložena mišljenja zaprimljena od nacionalnih parlamenata.</w:t>
      </w:r>
    </w:p>
  </w:footnote>
  <w:footnote w:id="2">
    <w:p>
      <w:pPr>
        <w:pStyle w:val="FootnoteText"/>
        <w:ind w:left="284" w:hanging="284"/>
      </w:pPr>
      <w:r>
        <w:rPr>
          <w:rStyle w:val="FootnoteReference"/>
        </w:rPr>
        <w:footnoteRef/>
      </w:r>
      <w:r>
        <w:t xml:space="preserve"> </w:t>
      </w:r>
      <w:r>
        <w:tab/>
        <w:t>Da bi se moglo nazvati obrazloženim mišljenjem u skladu s definicijom iz Protokola br. 2, u mišljenju mora biti jasno navedena povreda supsidijarnosti i ono se mora poslati Komisiji u roku od osam tjedana od prosljeđivanja zakonodavnog prijedloga nacionalnim parlamentima.</w:t>
      </w:r>
    </w:p>
  </w:footnote>
  <w:footnote w:id="3">
    <w:p>
      <w:pPr>
        <w:pStyle w:val="FootnoteText"/>
        <w:ind w:left="284" w:hanging="284"/>
      </w:pPr>
      <w:r>
        <w:rPr>
          <w:rStyle w:val="FootnoteReference"/>
        </w:rPr>
        <w:footnoteRef/>
      </w:r>
      <w:r>
        <w:t xml:space="preserve">    Računaju se kao trideset osam zajedničkih mišljenja dvaju domova.</w:t>
      </w:r>
    </w:p>
  </w:footnote>
  <w:footnote w:id="4">
    <w:p>
      <w:pPr>
        <w:pStyle w:val="FootnoteText"/>
        <w:tabs>
          <w:tab w:val="left" w:pos="284"/>
        </w:tabs>
        <w:ind w:left="284" w:hanging="284"/>
      </w:pPr>
      <w:r>
        <w:rPr>
          <w:rStyle w:val="FootnoteReference"/>
        </w:rPr>
        <w:footnoteRef/>
      </w:r>
      <w:r>
        <w:t xml:space="preserve"> </w:t>
      </w:r>
      <w:r>
        <w:tab/>
        <w:t>U tablici su navedeni svi dokumenti Komisije za koje je zaprimljeno najmanje sedam mišljenja.</w:t>
      </w:r>
    </w:p>
  </w:footnote>
  <w:footnote w:id="5">
    <w:p>
      <w:pPr>
        <w:pStyle w:val="FootnoteText"/>
        <w:ind w:left="284" w:hanging="284"/>
      </w:pPr>
      <w:r>
        <w:rPr>
          <w:rStyle w:val="FootnoteReference"/>
        </w:rPr>
        <w:footnoteRef/>
      </w:r>
      <w:r>
        <w:t xml:space="preserve"> </w:t>
      </w:r>
      <w:r>
        <w:tab/>
        <w:t>Broj uključuje mišljenja i obrazložena mišljenja zaprimljena od nacionalnih parlamenata.</w:t>
      </w:r>
    </w:p>
  </w:footnote>
  <w:footnote w:id="6">
    <w:p>
      <w:pPr>
        <w:pStyle w:val="FootnoteText"/>
        <w:ind w:left="284" w:hanging="284"/>
      </w:pPr>
      <w:r>
        <w:rPr>
          <w:rStyle w:val="FootnoteReference"/>
        </w:rPr>
        <w:footnoteRef/>
      </w:r>
      <w:r>
        <w:t xml:space="preserve"> </w:t>
      </w:r>
      <w:r>
        <w:tab/>
        <w:t>Da bi se moglo nazvati obrazloženim mišljenjem u skladu s definicijom iz Protokola br. 2., u mišljenju mora biti jasno navedena povreda supsidijarnosti i ono se mora poslati Komisiji u roku od osam tjedana od prosljeđivanja zakonodavnog prijedloga nacionalnim parlamentima.</w:t>
      </w:r>
    </w:p>
  </w:footnote>
  <w:footnote w:id="7">
    <w:p>
      <w:pPr>
        <w:pStyle w:val="FootnoteText"/>
        <w:ind w:left="284" w:hanging="284"/>
      </w:pPr>
      <w:r>
        <w:rPr>
          <w:rStyle w:val="FootnoteReference"/>
        </w:rPr>
        <w:footnoteRef/>
      </w:r>
      <w:r>
        <w:t xml:space="preserve"> </w:t>
      </w:r>
      <w:r>
        <w:tab/>
        <w:t xml:space="preserve">Jedno od mišljenja koje se odnosi na taj dokument Komisije dostavio je češki </w:t>
      </w:r>
      <w:r>
        <w:rPr>
          <w:i/>
        </w:rPr>
        <w:t>Senát</w:t>
      </w:r>
      <w:r>
        <w:t xml:space="preserve"> i zajednički se odnosilo na COM(2016) 864, COM(2016) 862, COM(2016) 863 i COM(2016) 861. Jedno mišljenje, koje je dostavio portugalski </w:t>
      </w:r>
      <w:r>
        <w:rPr>
          <w:i/>
        </w:rPr>
        <w:t>Assambleia da República</w:t>
      </w:r>
      <w:r>
        <w:t xml:space="preserve">, zajednički se odnosilo na COM(2016) 864, COM(2016) 863 i COM(2016) 861. </w:t>
      </w:r>
    </w:p>
  </w:footnote>
  <w:footnote w:id="8">
    <w:p>
      <w:pPr>
        <w:pStyle w:val="FootnoteText"/>
        <w:ind w:left="284" w:hanging="284"/>
      </w:pPr>
      <w:r>
        <w:rPr>
          <w:rStyle w:val="FootnoteReference"/>
        </w:rPr>
        <w:footnoteRef/>
      </w:r>
      <w:r>
        <w:t xml:space="preserve"> </w:t>
      </w:r>
      <w:r>
        <w:tab/>
        <w:t xml:space="preserve">Dva mišljenja, koja su dostavili portugalski </w:t>
      </w:r>
      <w:r>
        <w:rPr>
          <w:i/>
        </w:rPr>
        <w:t>Assambleia da República</w:t>
      </w:r>
      <w:r>
        <w:t xml:space="preserve"> i rumunjski </w:t>
      </w:r>
      <w:r>
        <w:rPr>
          <w:i/>
        </w:rPr>
        <w:t>Camera Deputaților</w:t>
      </w:r>
      <w:r>
        <w:t xml:space="preserve">, zajednički su se odnosila na COM(2017) 253 i COM(2017) 252. </w:t>
      </w:r>
    </w:p>
  </w:footnote>
  <w:footnote w:id="9">
    <w:p>
      <w:pPr>
        <w:pStyle w:val="FootnoteText"/>
        <w:ind w:left="284" w:hanging="284"/>
      </w:pPr>
      <w:r>
        <w:rPr>
          <w:rStyle w:val="FootnoteReference"/>
        </w:rPr>
        <w:footnoteRef/>
      </w:r>
      <w:r>
        <w:t xml:space="preserve"> </w:t>
      </w:r>
      <w:r>
        <w:tab/>
        <w:t xml:space="preserve">Jedno od mišljenja koje se odnosi na taj dokument Komisije dostavio je španjolski </w:t>
      </w:r>
      <w:r>
        <w:rPr>
          <w:i/>
        </w:rPr>
        <w:t>Cortes Generales</w:t>
      </w:r>
      <w:r>
        <w:t xml:space="preserve"> i zajednički se odnosilo na COM(2016) 864 i COM(2016) 767. Jedno mišljenje, koje je dostavio češki </w:t>
      </w:r>
      <w:r>
        <w:rPr>
          <w:i/>
        </w:rPr>
        <w:t>Senát</w:t>
      </w:r>
      <w:r>
        <w:t xml:space="preserve">, zajednički se odnosilo na COM(2016) 864, COM(2016) 862, COM(2016) 863 i COM(2016) 861. Jedno mišljenje, koje je dostavio portugalski </w:t>
      </w:r>
      <w:r>
        <w:rPr>
          <w:i/>
        </w:rPr>
        <w:t>Assambleia da República</w:t>
      </w:r>
      <w:r>
        <w:t>, zajednički se odnosilo na COM(2016) 864, COM(2016) 863 i COM(2016) 861.</w:t>
      </w:r>
    </w:p>
  </w:footnote>
  <w:footnote w:id="10">
    <w:p>
      <w:pPr>
        <w:pStyle w:val="FootnoteText"/>
        <w:ind w:left="284" w:hanging="284"/>
      </w:pPr>
      <w:r>
        <w:rPr>
          <w:rStyle w:val="FootnoteReference"/>
        </w:rPr>
        <w:footnoteRef/>
      </w:r>
      <w:r>
        <w:t xml:space="preserve"> </w:t>
      </w:r>
      <w:r>
        <w:tab/>
        <w:t xml:space="preserve">Jedno od mišljenja koje se odnosi na taj dokument Komisije dostavio je češki </w:t>
      </w:r>
      <w:r>
        <w:rPr>
          <w:i/>
        </w:rPr>
        <w:t>Senát</w:t>
      </w:r>
      <w:r>
        <w:t xml:space="preserve"> i zajednički se odnosilo na COM(2016) 759 i COM(2016) 767. Jedno mišljenje, koje je dostavio češki </w:t>
      </w:r>
      <w:r>
        <w:rPr>
          <w:i/>
        </w:rPr>
        <w:t>Poslanecká sněmovna</w:t>
      </w:r>
      <w:r>
        <w:t>, zajednički se odnosilo na COM(2016) 759, COM(2016) 767, COM(2016) 761 i COM(2016) 760.</w:t>
      </w:r>
    </w:p>
  </w:footnote>
  <w:footnote w:id="11">
    <w:p>
      <w:pPr>
        <w:pStyle w:val="FootnoteText"/>
        <w:ind w:left="284" w:hanging="284"/>
      </w:pPr>
      <w:r>
        <w:rPr>
          <w:rStyle w:val="FootnoteReference"/>
        </w:rPr>
        <w:footnoteRef/>
      </w:r>
      <w:r>
        <w:t xml:space="preserve"> </w:t>
      </w:r>
      <w:r>
        <w:tab/>
        <w:t xml:space="preserve">Jedno od mišljenja koje se odnosi na taj dokument Komisije dostavio je češki </w:t>
      </w:r>
      <w:r>
        <w:rPr>
          <w:i/>
        </w:rPr>
        <w:t>Poslanecká sněmovna</w:t>
      </w:r>
      <w:r>
        <w:t xml:space="preserve"> i zajednički se odnosilo na COM(2017) 10, COM(2017) 8 i COM(2017) 7. </w:t>
      </w:r>
    </w:p>
  </w:footnote>
  <w:footnote w:id="12">
    <w:p>
      <w:pPr>
        <w:pStyle w:val="FootnoteText"/>
        <w:ind w:left="284" w:hanging="284"/>
      </w:pPr>
      <w:r>
        <w:rPr>
          <w:rStyle w:val="FootnoteReference"/>
        </w:rPr>
        <w:footnoteRef/>
      </w:r>
      <w:r>
        <w:t xml:space="preserve"> </w:t>
      </w:r>
      <w:r>
        <w:tab/>
        <w:t xml:space="preserve">Jedno od mišljenja koje se odnosi na taj dokument Komisije dostavio je portugalski </w:t>
      </w:r>
      <w:r>
        <w:rPr>
          <w:i/>
        </w:rPr>
        <w:t>Assembleia da República</w:t>
      </w:r>
      <w:r>
        <w:t xml:space="preserve"> i zajednički se odnosilo na COM(2016) 824, COM(2016) 823, COM(2016) 821,  COM(2016) 822 i COM(2016) 820. Jedno mišljenje, koje je dostavio španjolski </w:t>
      </w:r>
      <w:r>
        <w:rPr>
          <w:i/>
        </w:rPr>
        <w:t>Cortes Generales</w:t>
      </w:r>
      <w:r>
        <w:t>, zajednički se odnosilo na COM(2016) 824, COM(2016) 823 i COM(2016) 822.</w:t>
      </w:r>
    </w:p>
  </w:footnote>
  <w:footnote w:id="13">
    <w:p>
      <w:pPr>
        <w:pStyle w:val="FootnoteText"/>
        <w:ind w:left="284" w:hanging="284"/>
      </w:pPr>
      <w:r>
        <w:rPr>
          <w:rStyle w:val="FootnoteReference"/>
        </w:rPr>
        <w:footnoteRef/>
      </w:r>
      <w:r>
        <w:t xml:space="preserve"> </w:t>
      </w:r>
      <w:r>
        <w:tab/>
        <w:t xml:space="preserve">Jedno od mišljenja koje se odnosi na taj dokument Komisije dostavio je češki </w:t>
      </w:r>
      <w:r>
        <w:rPr>
          <w:i/>
        </w:rPr>
        <w:t>Senát</w:t>
      </w:r>
      <w:r>
        <w:t xml:space="preserve"> i zajednički se odnosilo na COM(2016) 864, COM(2016) 862, COM(2016) 863 i COM(2016) 861. Jedno mišljenje, koje je dostavio portugalski </w:t>
      </w:r>
      <w:r>
        <w:rPr>
          <w:i/>
        </w:rPr>
        <w:t>Assambleia da República</w:t>
      </w:r>
      <w:r>
        <w:t xml:space="preserve">, zajednički se odnosilo na COM(2016) 864, COM(2016) 863 i COM(2016) 861. Jedno mišljenje, koje je dostavio francuski </w:t>
      </w:r>
      <w:r>
        <w:rPr>
          <w:i/>
        </w:rPr>
        <w:t>Sénat</w:t>
      </w:r>
      <w:r>
        <w:t xml:space="preserve">, zajednički se odnosilo na COM(2016) 863 i COM(2016) 861. Jedno mišljenje, koje je dostavio austrijski </w:t>
      </w:r>
      <w:r>
        <w:rPr>
          <w:i/>
        </w:rPr>
        <w:t>Bundesrat</w:t>
      </w:r>
      <w:r>
        <w:t>, zajednički se odnosilo na COM(2016) 862 i COM(2016) 863.</w:t>
      </w:r>
    </w:p>
  </w:footnote>
  <w:footnote w:id="14">
    <w:p>
      <w:pPr>
        <w:pStyle w:val="FootnoteText"/>
        <w:ind w:left="284" w:hanging="284"/>
      </w:pPr>
      <w:r>
        <w:rPr>
          <w:rStyle w:val="FootnoteReference"/>
        </w:rPr>
        <w:footnoteRef/>
      </w:r>
      <w:r>
        <w:t xml:space="preserve"> </w:t>
      </w:r>
      <w:r>
        <w:tab/>
        <w:t xml:space="preserve">Jedno od mišljenja koje se odnosi na taj dokument Komisije dostavio je portugalski </w:t>
      </w:r>
      <w:r>
        <w:rPr>
          <w:i/>
        </w:rPr>
        <w:t>Assembleia da República</w:t>
      </w:r>
      <w:r>
        <w:t xml:space="preserve"> i zajednički se odnosilo na COM(2016) 824, COM(2016) 823, COM(2016) 863,  COM(2016) 822 i COM(2016) 820. </w:t>
      </w:r>
    </w:p>
  </w:footnote>
  <w:footnote w:id="15">
    <w:p>
      <w:pPr>
        <w:pStyle w:val="FootnoteText"/>
        <w:ind w:left="284" w:hanging="284"/>
      </w:pPr>
      <w:r>
        <w:rPr>
          <w:rStyle w:val="FootnoteReference"/>
        </w:rPr>
        <w:footnoteRef/>
      </w:r>
      <w:r>
        <w:t xml:space="preserve"> </w:t>
      </w:r>
      <w:r>
        <w:tab/>
        <w:t xml:space="preserve">Dva mišljenja, koja su dostavili austrijski </w:t>
      </w:r>
      <w:r>
        <w:rPr>
          <w:i/>
        </w:rPr>
        <w:t>Bundesrat</w:t>
      </w:r>
      <w:r>
        <w:t xml:space="preserve"> i portugalski </w:t>
      </w:r>
      <w:r>
        <w:rPr>
          <w:i/>
        </w:rPr>
        <w:t>Assambleia da República</w:t>
      </w:r>
      <w:r>
        <w:t xml:space="preserve">, zajednički su se odnosila na COM(2016) 765 i COM(2016) 761. Jedno mišljenje, koje je dostavio češki </w:t>
      </w:r>
      <w:r>
        <w:rPr>
          <w:i/>
        </w:rPr>
        <w:t>Senát</w:t>
      </w:r>
      <w:r>
        <w:t xml:space="preserve">, zajednički se odnosilo na COM(2017) 277, COM(2016) 765 i COM(2016) 761. </w:t>
      </w:r>
    </w:p>
  </w:footnote>
  <w:footnote w:id="16">
    <w:p>
      <w:pPr>
        <w:pStyle w:val="FootnoteText"/>
        <w:ind w:left="284" w:hanging="284"/>
      </w:pPr>
      <w:r>
        <w:rPr>
          <w:rStyle w:val="FootnoteReference"/>
        </w:rPr>
        <w:footnoteRef/>
      </w:r>
      <w:r>
        <w:t xml:space="preserve"> </w:t>
      </w:r>
      <w:r>
        <w:tab/>
        <w:t xml:space="preserve">Jedno od mišljenja koje se odnosi na taj dokument Komisije dostavio je češki </w:t>
      </w:r>
      <w:r>
        <w:rPr>
          <w:i/>
        </w:rPr>
        <w:t>Senát</w:t>
      </w:r>
      <w:r>
        <w:t xml:space="preserve"> i zajednički se odnosilo na COM(2016) 759 i COM(2016) 767. Jedno mišljenje, koje je dostavio češki </w:t>
      </w:r>
      <w:r>
        <w:rPr>
          <w:i/>
        </w:rPr>
        <w:t>Poslanecká sněmovna</w:t>
      </w:r>
      <w:r>
        <w:t xml:space="preserve">, zajednički se odnosilo na COM(2016) 759, COM(2016) 767, COM(2016) 761 i COM(2016) 860. Jedno mišljenje, koje je dostavio poljski </w:t>
      </w:r>
      <w:r>
        <w:rPr>
          <w:i/>
        </w:rPr>
        <w:t>Sejm</w:t>
      </w:r>
      <w:r>
        <w:t xml:space="preserve">, zajednički se odnosilo na COM(2016) 759 i COM(2016) 860. Jedno mišljenje, koje je dostavio španjolski </w:t>
      </w:r>
      <w:r>
        <w:rPr>
          <w:i/>
        </w:rPr>
        <w:t>Cortes Generales</w:t>
      </w:r>
      <w:r>
        <w:t xml:space="preserve">, zajednički se odnosilo na COM(2016) 759 i COM(2016) 862. </w:t>
      </w:r>
    </w:p>
  </w:footnote>
  <w:footnote w:id="17">
    <w:p>
      <w:pPr>
        <w:pStyle w:val="FootnoteText"/>
        <w:ind w:left="284" w:hanging="284"/>
      </w:pPr>
      <w:r>
        <w:rPr>
          <w:rStyle w:val="FootnoteReference"/>
        </w:rPr>
        <w:footnoteRef/>
      </w:r>
      <w:r>
        <w:t xml:space="preserve"> </w:t>
      </w:r>
      <w:r>
        <w:tab/>
        <w:t xml:space="preserve">Dva mišljenja, koja su dostavili mađarski </w:t>
      </w:r>
      <w:r>
        <w:rPr>
          <w:i/>
        </w:rPr>
        <w:t>Országgyűlés</w:t>
      </w:r>
      <w:r>
        <w:t xml:space="preserve"> i portugalski </w:t>
      </w:r>
      <w:r>
        <w:rPr>
          <w:i/>
        </w:rPr>
        <w:t>Assambleia da República</w:t>
      </w:r>
      <w:r>
        <w:t xml:space="preserve">, zajednički su se odnosila na COM(2017) 277 i COM(2017) 278. Jedno mišljenje, koje je dostavio francuski </w:t>
      </w:r>
      <w:r>
        <w:rPr>
          <w:i/>
        </w:rPr>
        <w:t>Sénat</w:t>
      </w:r>
      <w:r>
        <w:t xml:space="preserve">, zajednički se odnosilo na COM(2017) 277, COM(2017) 278 i COM(2017) 281. Jedno mišljenje, koje je dostavio češki </w:t>
      </w:r>
      <w:r>
        <w:rPr>
          <w:i/>
        </w:rPr>
        <w:t>Senát</w:t>
      </w:r>
      <w:r>
        <w:t>, zajednički se odnosilo na COM(2017) 282, COM(2017) 277, COM(2017) 278 i COM(2017) 281.</w:t>
      </w:r>
    </w:p>
  </w:footnote>
  <w:footnote w:id="18">
    <w:p>
      <w:pPr>
        <w:pStyle w:val="FootnoteText"/>
        <w:tabs>
          <w:tab w:val="left" w:pos="284"/>
        </w:tabs>
        <w:ind w:left="284" w:hanging="284"/>
      </w:pPr>
      <w:r>
        <w:rPr>
          <w:rStyle w:val="FootnoteReference"/>
        </w:rPr>
        <w:footnoteRef/>
      </w:r>
      <w:r>
        <w:t xml:space="preserve"> </w:t>
      </w:r>
      <w:r>
        <w:tab/>
        <w:t>Broj uključuje mišljenja i obrazložena mišljenja zaprimljena od nacionalnih parlamenata.</w:t>
      </w:r>
    </w:p>
  </w:footnote>
  <w:footnote w:id="19">
    <w:p>
      <w:pPr>
        <w:pStyle w:val="FootnoteText"/>
        <w:ind w:left="284" w:hanging="284"/>
      </w:pPr>
      <w:r>
        <w:rPr>
          <w:rStyle w:val="FootnoteReference"/>
        </w:rPr>
        <w:footnoteRef/>
      </w:r>
      <w:r>
        <w:t xml:space="preserve"> </w:t>
      </w:r>
      <w:r>
        <w:tab/>
        <w:t>ESVD nije služba Komisije, već neovisno tijelo.</w:t>
      </w:r>
    </w:p>
  </w:footnote>
  <w:footnote w:id="20">
    <w:p>
      <w:pPr>
        <w:pStyle w:val="FootnoteText"/>
        <w:ind w:left="284" w:hanging="284"/>
      </w:pPr>
      <w:r>
        <w:rPr>
          <w:rStyle w:val="FootnoteReference"/>
        </w:rPr>
        <w:footnoteRef/>
      </w:r>
      <w:r>
        <w:t xml:space="preserve"> </w:t>
      </w:r>
      <w:r>
        <w:tab/>
        <w:t>Radna skupina na temelju članka 50. nije služba Komisije, već neovisno tijelo.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   "/>
    <w:docVar w:name="LW_ANNEX_NBR_FIRST" w:val="1"/>
    <w:docVar w:name="LW_ANNEX_NBR_LAST" w:val="3"/>
    <w:docVar w:name="LW_ANNEX_UNIQUE" w:val="0"/>
    <w:docVar w:name="LW_CORRIGENDUM" w:val="&lt;UNUSED&gt;"/>
    <w:docVar w:name="LW_COVERPAGE_EXISTS" w:val="True"/>
    <w:docVar w:name="LW_COVERPAGE_GUID" w:val="57A80FDE-07CC-4279-9095-520AB5AD041E"/>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xelles, "/>
    <w:docVar w:name="LW_EMISSION_SUFFIX" w:val="&lt;EMPTY&gt;"/>
    <w:docVar w:name="LW_ID_DOCTYPE_NONLW" w:val="CP-039"/>
    <w:docVar w:name="LW_LANGUE" w:val="HR"/>
    <w:docVar w:name="LW_LEVEL_OF_SENSITIVITY" w:val="Standard treatment"/>
    <w:docVar w:name="LW_NOM.INST" w:val="EUROPSKA KOMISIJA"/>
    <w:docVar w:name="LW_NOM.INST_JOINTDOC" w:val="&lt;EMPTY&gt;"/>
    <w:docVar w:name="LW_OBJETACTEPRINCIPAL.CP" w:val="O ODNOSIMA EUROPSKE KOMISIJE S NACIONALNIM PARLAMENTIMA"/>
    <w:docVar w:name="LW_PART_NBR" w:val="&lt;UNUSED&gt;"/>
    <w:docVar w:name="LW_PART_NBR_TOTAL" w:val="&lt;UNUSED&gt;"/>
    <w:docVar w:name="LW_REF.INST.NEW" w:val="COM"/>
    <w:docVar w:name="LW_REF.INST.NEW_ADOPTED" w:val="final"/>
    <w:docVar w:name="LW_REF.INST.NEW_TEXT" w:val="(2018)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LOZI_x000b_"/>
    <w:docVar w:name="LW_TYPEACTEPRINCIPAL.CP" w:val="IZVJE\u352?\u262?U KOMISIJ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Created>
    <Version>4.6</Version>
    <Date>2018-08-29T12:28:07</Date>
    <Language>EN</Language>
  </Created>
  <Edited>
    <Version>10.0.37441.0</Version>
    <Date>2018-08-29T12:31:20</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E0D61C8E-61D8-48E1-A8A1-D7C9F052D3FF}">
  <ds:schemaRefs/>
</ds:datastoreItem>
</file>

<file path=customXml/itemProps2.xml><?xml version="1.0" encoding="utf-8"?>
<ds:datastoreItem xmlns:ds="http://schemas.openxmlformats.org/officeDocument/2006/customXml" ds:itemID="{749A81CD-47B2-43EE-A84B-07911B2F577B}">
  <ds:schemaRefs/>
</ds:datastoreItem>
</file>

<file path=customXml/itemProps3.xml><?xml version="1.0" encoding="utf-8"?>
<ds:datastoreItem xmlns:ds="http://schemas.openxmlformats.org/officeDocument/2006/customXml" ds:itemID="{E185D78C-AD8C-44D8-9F36-C303026A0844}">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965</Words>
  <Characters>5426</Characters>
  <Application>Microsoft Office Word</Application>
  <DocSecurity>0</DocSecurity>
  <PresentationFormat>Microsoft Word 14.0</PresentationFormat>
  <Lines>417</Lines>
  <Paragraphs>355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DIGIT/C6</cp:lastModifiedBy>
  <cp:revision>12</cp:revision>
  <dcterms:created xsi:type="dcterms:W3CDTF">2018-08-29T10:28:00Z</dcterms:created>
  <dcterms:modified xsi:type="dcterms:W3CDTF">2018-10-18T07:30:00Z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3</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