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957737C-CF8F-4A1E-9AFE-30D5C7A2C564" style="width:450.75pt;height:366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Příloha 1</w:t>
      </w:r>
    </w:p>
    <w:p>
      <w:pPr>
        <w:spacing w:after="240"/>
        <w:jc w:val="center"/>
        <w:rPr>
          <w:b/>
          <w:noProof/>
        </w:rPr>
      </w:pPr>
      <w:r>
        <w:rPr>
          <w:b/>
          <w:noProof/>
        </w:rPr>
        <w:t>Počet stanovisek, která Komise obdržela v roce 2017, rozdělených podle vnitrostátních parlamentů / komor (politický dialog a mechanismus kontroly subsidiarity)</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2"/>
                <w:szCs w:val="22"/>
              </w:rPr>
            </w:pPr>
            <w:r>
              <w:rPr>
                <w:b/>
                <w:noProof/>
                <w:color w:val="000000"/>
                <w:sz w:val="22"/>
              </w:rPr>
              <w:t>Členský stát</w:t>
            </w:r>
          </w:p>
        </w:tc>
        <w:tc>
          <w:tcPr>
            <w:tcW w:w="3609" w:type="dxa"/>
            <w:shd w:val="clear" w:color="auto" w:fill="auto"/>
            <w:vAlign w:val="center"/>
          </w:tcPr>
          <w:p>
            <w:pPr>
              <w:spacing w:before="60" w:after="60"/>
              <w:jc w:val="center"/>
              <w:rPr>
                <w:b/>
                <w:bCs/>
                <w:noProof/>
                <w:color w:val="000000"/>
                <w:sz w:val="22"/>
                <w:szCs w:val="22"/>
              </w:rPr>
            </w:pPr>
            <w:r>
              <w:rPr>
                <w:b/>
                <w:noProof/>
                <w:color w:val="000000"/>
                <w:sz w:val="22"/>
              </w:rPr>
              <w:t>Komora</w:t>
            </w:r>
          </w:p>
        </w:tc>
        <w:tc>
          <w:tcPr>
            <w:tcW w:w="1660" w:type="dxa"/>
            <w:shd w:val="clear" w:color="auto" w:fill="auto"/>
            <w:vAlign w:val="center"/>
          </w:tcPr>
          <w:p>
            <w:pPr>
              <w:spacing w:before="60" w:after="60"/>
              <w:jc w:val="center"/>
              <w:rPr>
                <w:b/>
                <w:bCs/>
                <w:noProof/>
                <w:color w:val="000000"/>
                <w:sz w:val="22"/>
                <w:szCs w:val="22"/>
              </w:rPr>
            </w:pPr>
            <w:r>
              <w:rPr>
                <w:b/>
                <w:noProof/>
                <w:color w:val="000000"/>
                <w:sz w:val="22"/>
              </w:rPr>
              <w:t>Počet</w:t>
            </w:r>
            <w:r>
              <w:rPr>
                <w:b/>
                <w:bCs/>
                <w:noProof/>
                <w:color w:val="000000"/>
                <w:sz w:val="22"/>
                <w:szCs w:val="22"/>
              </w:rPr>
              <w:br/>
            </w:r>
            <w:r>
              <w:rPr>
                <w:b/>
                <w:noProof/>
                <w:color w:val="000000"/>
                <w:sz w:val="22"/>
              </w:rPr>
              <w:t>stanovisek</w:t>
            </w:r>
            <w:r>
              <w:rPr>
                <w:b/>
                <w:bCs/>
                <w:noProof/>
                <w:color w:val="000000"/>
                <w:sz w:val="22"/>
                <w:szCs w:val="22"/>
              </w:rPr>
              <w:br/>
            </w:r>
            <w:r>
              <w:rPr>
                <w:b/>
                <w:noProof/>
                <w:color w:val="000000"/>
                <w:sz w:val="22"/>
              </w:rPr>
              <w:t>celkem</w:t>
            </w:r>
            <w:r>
              <w:rPr>
                <w:rStyle w:val="FootnoteReference"/>
                <w:noProof/>
                <w:sz w:val="22"/>
              </w:rPr>
              <w:footnoteReference w:id="1"/>
            </w:r>
          </w:p>
        </w:tc>
        <w:tc>
          <w:tcPr>
            <w:tcW w:w="2364" w:type="dxa"/>
            <w:shd w:val="clear" w:color="auto" w:fill="auto"/>
            <w:vAlign w:val="center"/>
          </w:tcPr>
          <w:p>
            <w:pPr>
              <w:spacing w:before="60" w:after="60"/>
              <w:jc w:val="center"/>
              <w:rPr>
                <w:b/>
                <w:bCs/>
                <w:noProof/>
                <w:color w:val="000000"/>
                <w:sz w:val="22"/>
                <w:szCs w:val="22"/>
              </w:rPr>
            </w:pPr>
            <w:r>
              <w:rPr>
                <w:b/>
                <w:noProof/>
                <w:color w:val="000000"/>
                <w:sz w:val="22"/>
              </w:rPr>
              <w:t>Z toho</w:t>
            </w:r>
            <w:r>
              <w:rPr>
                <w:b/>
                <w:bCs/>
                <w:noProof/>
                <w:color w:val="000000"/>
                <w:sz w:val="22"/>
                <w:szCs w:val="22"/>
              </w:rPr>
              <w:br/>
            </w:r>
            <w:r>
              <w:rPr>
                <w:b/>
                <w:noProof/>
                <w:color w:val="000000"/>
                <w:sz w:val="22"/>
              </w:rPr>
              <w:t>odůvodněných</w:t>
            </w:r>
            <w:r>
              <w:rPr>
                <w:b/>
                <w:bCs/>
                <w:noProof/>
                <w:color w:val="000000"/>
                <w:sz w:val="22"/>
                <w:szCs w:val="22"/>
              </w:rPr>
              <w:br/>
            </w:r>
            <w:r>
              <w:rPr>
                <w:b/>
                <w:noProof/>
                <w:color w:val="000000"/>
                <w:sz w:val="22"/>
              </w:rPr>
              <w:t>stanovisek</w:t>
            </w:r>
            <w:r>
              <w:rPr>
                <w:b/>
                <w:bCs/>
                <w:noProof/>
                <w:color w:val="000000"/>
                <w:sz w:val="22"/>
                <w:szCs w:val="22"/>
              </w:rPr>
              <w:br/>
            </w:r>
            <w:r>
              <w:rPr>
                <w:b/>
                <w:noProof/>
                <w:sz w:val="22"/>
              </w:rPr>
              <w:t>(protokol č. 2)</w:t>
            </w:r>
            <w:r>
              <w:rPr>
                <w:rStyle w:val="FootnoteReference"/>
                <w:noProof/>
                <w:sz w:val="22"/>
              </w:rPr>
              <w:footnoteReference w:id="2"/>
            </w:r>
          </w:p>
        </w:tc>
      </w:tr>
      <w:tr>
        <w:trPr>
          <w:cantSplit/>
        </w:trPr>
        <w:tc>
          <w:tcPr>
            <w:tcW w:w="1909" w:type="dxa"/>
            <w:shd w:val="clear" w:color="auto" w:fill="auto"/>
            <w:vAlign w:val="center"/>
          </w:tcPr>
          <w:p>
            <w:pPr>
              <w:jc w:val="center"/>
              <w:rPr>
                <w:noProof/>
                <w:color w:val="000000"/>
                <w:sz w:val="22"/>
                <w:szCs w:val="22"/>
              </w:rPr>
            </w:pPr>
            <w:r>
              <w:rPr>
                <w:noProof/>
                <w:color w:val="000000"/>
                <w:sz w:val="22"/>
              </w:rPr>
              <w:t>Portugalsko</w:t>
            </w:r>
          </w:p>
        </w:tc>
        <w:tc>
          <w:tcPr>
            <w:tcW w:w="3609" w:type="dxa"/>
            <w:shd w:val="clear" w:color="auto" w:fill="auto"/>
            <w:vAlign w:val="center"/>
          </w:tcPr>
          <w:p>
            <w:pPr>
              <w:jc w:val="center"/>
              <w:rPr>
                <w:i/>
                <w:iCs/>
                <w:noProof/>
                <w:color w:val="000000"/>
                <w:sz w:val="22"/>
                <w:szCs w:val="22"/>
              </w:rPr>
            </w:pPr>
            <w:r>
              <w:rPr>
                <w:i/>
                <w:noProof/>
                <w:color w:val="000000"/>
                <w:sz w:val="22"/>
              </w:rPr>
              <w:t>Assembleia da República</w:t>
            </w:r>
          </w:p>
        </w:tc>
        <w:tc>
          <w:tcPr>
            <w:tcW w:w="1660" w:type="dxa"/>
            <w:shd w:val="clear" w:color="auto" w:fill="auto"/>
            <w:vAlign w:val="center"/>
          </w:tcPr>
          <w:p>
            <w:pPr>
              <w:jc w:val="center"/>
              <w:rPr>
                <w:noProof/>
                <w:color w:val="000000"/>
                <w:sz w:val="22"/>
                <w:szCs w:val="22"/>
              </w:rPr>
            </w:pPr>
            <w:r>
              <w:rPr>
                <w:noProof/>
                <w:color w:val="000000"/>
                <w:sz w:val="22"/>
              </w:rPr>
              <w:t>64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 xml:space="preserve">Itálie </w:t>
            </w:r>
          </w:p>
        </w:tc>
        <w:tc>
          <w:tcPr>
            <w:tcW w:w="3609" w:type="dxa"/>
            <w:shd w:val="clear" w:color="auto" w:fill="auto"/>
            <w:vAlign w:val="center"/>
          </w:tcPr>
          <w:p>
            <w:pPr>
              <w:jc w:val="center"/>
              <w:rPr>
                <w:i/>
                <w:iCs/>
                <w:noProof/>
                <w:color w:val="000000"/>
                <w:sz w:val="22"/>
                <w:szCs w:val="22"/>
              </w:rPr>
            </w:pPr>
            <w:r>
              <w:rPr>
                <w:i/>
                <w:noProof/>
                <w:color w:val="000000"/>
                <w:sz w:val="22"/>
              </w:rPr>
              <w:t>Senato della Repubblica</w:t>
            </w:r>
          </w:p>
        </w:tc>
        <w:tc>
          <w:tcPr>
            <w:tcW w:w="1660" w:type="dxa"/>
            <w:shd w:val="clear" w:color="auto" w:fill="auto"/>
            <w:vAlign w:val="center"/>
          </w:tcPr>
          <w:p>
            <w:pPr>
              <w:jc w:val="center"/>
              <w:rPr>
                <w:noProof/>
                <w:color w:val="000000"/>
                <w:sz w:val="22"/>
                <w:szCs w:val="22"/>
              </w:rPr>
            </w:pPr>
            <w:r>
              <w:rPr>
                <w:noProof/>
                <w:color w:val="000000"/>
                <w:sz w:val="22"/>
              </w:rPr>
              <w:t>56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Česká republika</w:t>
            </w:r>
          </w:p>
        </w:tc>
        <w:tc>
          <w:tcPr>
            <w:tcW w:w="3609" w:type="dxa"/>
            <w:shd w:val="clear" w:color="auto" w:fill="auto"/>
            <w:vAlign w:val="center"/>
          </w:tcPr>
          <w:p>
            <w:pPr>
              <w:jc w:val="center"/>
              <w:rPr>
                <w:i/>
                <w:iCs/>
                <w:noProof/>
                <w:color w:val="000000"/>
                <w:sz w:val="22"/>
                <w:szCs w:val="22"/>
              </w:rPr>
            </w:pPr>
            <w:r>
              <w:rPr>
                <w:i/>
                <w:noProof/>
                <w:color w:val="000000"/>
                <w:sz w:val="22"/>
              </w:rPr>
              <w:t>Senát</w:t>
            </w:r>
          </w:p>
        </w:tc>
        <w:tc>
          <w:tcPr>
            <w:tcW w:w="1660" w:type="dxa"/>
            <w:shd w:val="clear" w:color="auto" w:fill="auto"/>
            <w:vAlign w:val="center"/>
          </w:tcPr>
          <w:p>
            <w:pPr>
              <w:jc w:val="center"/>
              <w:rPr>
                <w:noProof/>
                <w:color w:val="000000"/>
                <w:sz w:val="22"/>
                <w:szCs w:val="22"/>
              </w:rPr>
            </w:pPr>
            <w:r>
              <w:rPr>
                <w:noProof/>
                <w:color w:val="000000"/>
                <w:sz w:val="22"/>
              </w:rPr>
              <w:t>53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Itálie</w:t>
            </w:r>
          </w:p>
        </w:tc>
        <w:tc>
          <w:tcPr>
            <w:tcW w:w="3609" w:type="dxa"/>
            <w:shd w:val="clear" w:color="auto" w:fill="auto"/>
            <w:vAlign w:val="center"/>
          </w:tcPr>
          <w:p>
            <w:pPr>
              <w:jc w:val="center"/>
              <w:rPr>
                <w:i/>
                <w:iCs/>
                <w:noProof/>
                <w:color w:val="000000"/>
                <w:sz w:val="22"/>
                <w:szCs w:val="22"/>
              </w:rPr>
            </w:pPr>
            <w:r>
              <w:rPr>
                <w:i/>
                <w:noProof/>
                <w:color w:val="000000"/>
                <w:sz w:val="22"/>
              </w:rPr>
              <w:t>Camera dei Deputati</w:t>
            </w:r>
          </w:p>
        </w:tc>
        <w:tc>
          <w:tcPr>
            <w:tcW w:w="1660" w:type="dxa"/>
            <w:shd w:val="clear" w:color="auto" w:fill="auto"/>
            <w:vAlign w:val="center"/>
          </w:tcPr>
          <w:p>
            <w:pPr>
              <w:jc w:val="center"/>
              <w:rPr>
                <w:noProof/>
                <w:color w:val="000000"/>
                <w:sz w:val="22"/>
                <w:szCs w:val="22"/>
              </w:rPr>
            </w:pPr>
            <w:r>
              <w:rPr>
                <w:noProof/>
                <w:color w:val="000000"/>
                <w:sz w:val="22"/>
              </w:rPr>
              <w:t>45</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Německo</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43</w:t>
            </w:r>
          </w:p>
        </w:tc>
        <w:tc>
          <w:tcPr>
            <w:tcW w:w="2364" w:type="dxa"/>
            <w:shd w:val="clear" w:color="auto" w:fill="auto"/>
            <w:vAlign w:val="center"/>
          </w:tcPr>
          <w:p>
            <w:pPr>
              <w:jc w:val="center"/>
              <w:rPr>
                <w:noProof/>
                <w:color w:val="000000"/>
                <w:sz w:val="22"/>
                <w:szCs w:val="22"/>
              </w:rPr>
            </w:pPr>
            <w:r>
              <w:rPr>
                <w:noProof/>
                <w:color w:val="000000"/>
                <w:sz w:val="22"/>
              </w:rPr>
              <w:t>3</w:t>
            </w:r>
          </w:p>
        </w:tc>
      </w:tr>
      <w:tr>
        <w:trPr>
          <w:cantSplit/>
        </w:trPr>
        <w:tc>
          <w:tcPr>
            <w:tcW w:w="1909" w:type="dxa"/>
            <w:shd w:val="clear" w:color="auto" w:fill="auto"/>
            <w:vAlign w:val="center"/>
          </w:tcPr>
          <w:p>
            <w:pPr>
              <w:jc w:val="center"/>
              <w:rPr>
                <w:noProof/>
                <w:color w:val="000000"/>
                <w:sz w:val="22"/>
                <w:szCs w:val="22"/>
              </w:rPr>
            </w:pPr>
            <w:r>
              <w:rPr>
                <w:noProof/>
                <w:color w:val="000000"/>
                <w:sz w:val="22"/>
              </w:rPr>
              <w:t>Rumunsko</w:t>
            </w:r>
          </w:p>
        </w:tc>
        <w:tc>
          <w:tcPr>
            <w:tcW w:w="3609" w:type="dxa"/>
            <w:shd w:val="clear" w:color="auto" w:fill="auto"/>
            <w:vAlign w:val="center"/>
          </w:tcPr>
          <w:p>
            <w:pPr>
              <w:jc w:val="center"/>
              <w:rPr>
                <w:i/>
                <w:iCs/>
                <w:noProof/>
                <w:color w:val="000000"/>
                <w:sz w:val="22"/>
                <w:szCs w:val="22"/>
              </w:rPr>
            </w:pPr>
            <w:r>
              <w:rPr>
                <w:i/>
                <w:noProof/>
                <w:color w:val="000000"/>
                <w:sz w:val="22"/>
              </w:rPr>
              <w:t>Camera Deputaților</w:t>
            </w:r>
          </w:p>
        </w:tc>
        <w:tc>
          <w:tcPr>
            <w:tcW w:w="1660" w:type="dxa"/>
            <w:shd w:val="clear" w:color="auto" w:fill="auto"/>
            <w:vAlign w:val="center"/>
          </w:tcPr>
          <w:p>
            <w:pPr>
              <w:jc w:val="center"/>
              <w:rPr>
                <w:noProof/>
                <w:color w:val="000000"/>
                <w:sz w:val="22"/>
                <w:szCs w:val="22"/>
              </w:rPr>
            </w:pPr>
            <w:r>
              <w:rPr>
                <w:noProof/>
                <w:color w:val="000000"/>
                <w:sz w:val="22"/>
              </w:rPr>
              <w:t>41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Španělsko</w:t>
            </w:r>
          </w:p>
        </w:tc>
        <w:tc>
          <w:tcPr>
            <w:tcW w:w="3609" w:type="dxa"/>
            <w:shd w:val="clear" w:color="auto" w:fill="auto"/>
            <w:vAlign w:val="center"/>
          </w:tcPr>
          <w:p>
            <w:pPr>
              <w:jc w:val="center"/>
              <w:rPr>
                <w:noProof/>
                <w:color w:val="000000"/>
                <w:sz w:val="22"/>
                <w:szCs w:val="22"/>
              </w:rPr>
            </w:pPr>
            <w:r>
              <w:rPr>
                <w:i/>
                <w:noProof/>
                <w:color w:val="000000"/>
                <w:sz w:val="22"/>
              </w:rPr>
              <w:t>Las Cortes Generales:</w:t>
            </w:r>
            <w:r>
              <w:rPr>
                <w:noProof/>
                <w:color w:val="000000"/>
                <w:sz w:val="22"/>
                <w:szCs w:val="22"/>
              </w:rPr>
              <w:br/>
            </w:r>
            <w:r>
              <w:rPr>
                <w:i/>
                <w:noProof/>
                <w:color w:val="000000"/>
                <w:sz w:val="22"/>
              </w:rPr>
              <w:t>Senado de España</w:t>
            </w:r>
            <w:r>
              <w:rPr>
                <w:noProof/>
                <w:color w:val="000000"/>
                <w:sz w:val="22"/>
              </w:rPr>
              <w:t xml:space="preserve"> a</w:t>
            </w:r>
            <w:r>
              <w:rPr>
                <w:noProof/>
                <w:color w:val="000000"/>
                <w:sz w:val="22"/>
                <w:szCs w:val="22"/>
              </w:rPr>
              <w:br/>
            </w:r>
            <w:r>
              <w:rPr>
                <w:i/>
                <w:noProof/>
                <w:color w:val="000000"/>
                <w:sz w:val="22"/>
              </w:rPr>
              <w:t>Congreso de los Diputados</w:t>
            </w:r>
          </w:p>
        </w:tc>
        <w:tc>
          <w:tcPr>
            <w:tcW w:w="1660" w:type="dxa"/>
            <w:shd w:val="clear" w:color="auto" w:fill="auto"/>
            <w:vAlign w:val="center"/>
          </w:tcPr>
          <w:p>
            <w:pPr>
              <w:jc w:val="center"/>
              <w:rPr>
                <w:noProof/>
                <w:color w:val="000000"/>
                <w:sz w:val="22"/>
                <w:szCs w:val="22"/>
              </w:rPr>
            </w:pPr>
            <w:r>
              <w:rPr>
                <w:noProof/>
                <w:color w:val="000000"/>
                <w:sz w:val="22"/>
              </w:rPr>
              <w:t>38</w:t>
            </w:r>
            <w:r>
              <w:rPr>
                <w:rStyle w:val="FootnoteReference"/>
                <w:noProof/>
                <w:color w:val="000000"/>
                <w:sz w:val="22"/>
              </w:rPr>
              <w:footnoteReference w:id="3"/>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Rumunsko</w:t>
            </w:r>
          </w:p>
        </w:tc>
        <w:tc>
          <w:tcPr>
            <w:tcW w:w="3609" w:type="dxa"/>
            <w:shd w:val="clear" w:color="auto" w:fill="auto"/>
            <w:vAlign w:val="center"/>
          </w:tcPr>
          <w:p>
            <w:pPr>
              <w:jc w:val="center"/>
              <w:rPr>
                <w:i/>
                <w:iCs/>
                <w:noProof/>
                <w:color w:val="000000"/>
                <w:sz w:val="22"/>
                <w:szCs w:val="22"/>
              </w:rPr>
            </w:pPr>
            <w:r>
              <w:rPr>
                <w:i/>
                <w:noProof/>
                <w:color w:val="000000"/>
                <w:sz w:val="22"/>
              </w:rPr>
              <w:t>Senatul</w:t>
            </w:r>
          </w:p>
        </w:tc>
        <w:tc>
          <w:tcPr>
            <w:tcW w:w="1660" w:type="dxa"/>
            <w:shd w:val="clear" w:color="auto" w:fill="auto"/>
            <w:vAlign w:val="center"/>
          </w:tcPr>
          <w:p>
            <w:pPr>
              <w:jc w:val="center"/>
              <w:rPr>
                <w:noProof/>
                <w:color w:val="000000"/>
                <w:sz w:val="22"/>
                <w:szCs w:val="22"/>
              </w:rPr>
            </w:pPr>
            <w:r>
              <w:rPr>
                <w:noProof/>
                <w:color w:val="000000"/>
                <w:sz w:val="22"/>
              </w:rPr>
              <w:t>33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Francie</w:t>
            </w:r>
          </w:p>
        </w:tc>
        <w:tc>
          <w:tcPr>
            <w:tcW w:w="3609" w:type="dxa"/>
            <w:shd w:val="clear" w:color="auto" w:fill="auto"/>
            <w:vAlign w:val="center"/>
          </w:tcPr>
          <w:p>
            <w:pPr>
              <w:jc w:val="center"/>
              <w:rPr>
                <w:i/>
                <w:iCs/>
                <w:noProof/>
                <w:color w:val="000000"/>
                <w:sz w:val="22"/>
                <w:szCs w:val="22"/>
              </w:rPr>
            </w:pPr>
            <w:r>
              <w:rPr>
                <w:i/>
                <w:noProof/>
                <w:color w:val="000000"/>
                <w:sz w:val="22"/>
              </w:rPr>
              <w:t xml:space="preserve">Sénat  </w:t>
            </w:r>
          </w:p>
        </w:tc>
        <w:tc>
          <w:tcPr>
            <w:tcW w:w="1660" w:type="dxa"/>
            <w:shd w:val="clear" w:color="auto" w:fill="auto"/>
            <w:vAlign w:val="center"/>
          </w:tcPr>
          <w:p>
            <w:pPr>
              <w:jc w:val="center"/>
              <w:rPr>
                <w:noProof/>
                <w:color w:val="000000"/>
                <w:sz w:val="22"/>
                <w:szCs w:val="22"/>
              </w:rPr>
            </w:pPr>
            <w:r>
              <w:rPr>
                <w:noProof/>
                <w:color w:val="000000"/>
                <w:sz w:val="22"/>
              </w:rPr>
              <w:t>29</w:t>
            </w:r>
          </w:p>
        </w:tc>
        <w:tc>
          <w:tcPr>
            <w:tcW w:w="2364" w:type="dxa"/>
            <w:shd w:val="clear" w:color="auto" w:fill="auto"/>
            <w:vAlign w:val="center"/>
          </w:tcPr>
          <w:p>
            <w:pPr>
              <w:jc w:val="center"/>
              <w:rPr>
                <w:noProof/>
                <w:color w:val="000000"/>
                <w:sz w:val="22"/>
                <w:szCs w:val="22"/>
              </w:rPr>
            </w:pPr>
            <w:r>
              <w:rPr>
                <w:noProof/>
                <w:color w:val="000000"/>
                <w:sz w:val="22"/>
              </w:rPr>
              <w:t>7</w:t>
            </w:r>
          </w:p>
        </w:tc>
      </w:tr>
      <w:tr>
        <w:trPr>
          <w:cantSplit/>
        </w:trPr>
        <w:tc>
          <w:tcPr>
            <w:tcW w:w="1909" w:type="dxa"/>
            <w:shd w:val="clear" w:color="auto" w:fill="auto"/>
            <w:vAlign w:val="center"/>
          </w:tcPr>
          <w:p>
            <w:pPr>
              <w:jc w:val="center"/>
              <w:rPr>
                <w:noProof/>
                <w:color w:val="000000"/>
                <w:sz w:val="22"/>
                <w:szCs w:val="22"/>
              </w:rPr>
            </w:pPr>
            <w:r>
              <w:rPr>
                <w:noProof/>
                <w:color w:val="000000"/>
                <w:sz w:val="22"/>
              </w:rPr>
              <w:t>Spojené království</w:t>
            </w:r>
          </w:p>
        </w:tc>
        <w:tc>
          <w:tcPr>
            <w:tcW w:w="3609" w:type="dxa"/>
            <w:shd w:val="clear" w:color="auto" w:fill="auto"/>
            <w:vAlign w:val="center"/>
          </w:tcPr>
          <w:p>
            <w:pPr>
              <w:jc w:val="center"/>
              <w:rPr>
                <w:i/>
                <w:iCs/>
                <w:noProof/>
                <w:color w:val="000000"/>
                <w:sz w:val="22"/>
                <w:szCs w:val="22"/>
              </w:rPr>
            </w:pPr>
            <w:r>
              <w:rPr>
                <w:i/>
                <w:noProof/>
                <w:color w:val="000000"/>
                <w:sz w:val="22"/>
              </w:rPr>
              <w:t>House of Lords</w:t>
            </w:r>
          </w:p>
        </w:tc>
        <w:tc>
          <w:tcPr>
            <w:tcW w:w="1660" w:type="dxa"/>
            <w:shd w:val="clear" w:color="auto" w:fill="auto"/>
            <w:vAlign w:val="center"/>
          </w:tcPr>
          <w:p>
            <w:pPr>
              <w:jc w:val="center"/>
              <w:rPr>
                <w:noProof/>
                <w:color w:val="000000"/>
                <w:sz w:val="22"/>
                <w:szCs w:val="22"/>
              </w:rPr>
            </w:pPr>
            <w:r>
              <w:rPr>
                <w:noProof/>
                <w:color w:val="000000"/>
                <w:sz w:val="22"/>
              </w:rPr>
              <w:t>22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Česká republika</w:t>
            </w:r>
          </w:p>
        </w:tc>
        <w:tc>
          <w:tcPr>
            <w:tcW w:w="3609" w:type="dxa"/>
            <w:shd w:val="clear" w:color="auto" w:fill="auto"/>
            <w:vAlign w:val="center"/>
          </w:tcPr>
          <w:p>
            <w:pPr>
              <w:jc w:val="center"/>
              <w:rPr>
                <w:i/>
                <w:iCs/>
                <w:noProof/>
                <w:color w:val="000000"/>
                <w:sz w:val="22"/>
                <w:szCs w:val="22"/>
              </w:rPr>
            </w:pPr>
            <w:r>
              <w:rPr>
                <w:i/>
                <w:noProof/>
                <w:color w:val="000000"/>
                <w:sz w:val="22"/>
              </w:rPr>
              <w:t>Poslanecká sněmovna</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Švédsko</w:t>
            </w:r>
          </w:p>
        </w:tc>
        <w:tc>
          <w:tcPr>
            <w:tcW w:w="3609" w:type="dxa"/>
            <w:shd w:val="clear" w:color="auto" w:fill="auto"/>
            <w:vAlign w:val="center"/>
          </w:tcPr>
          <w:p>
            <w:pPr>
              <w:jc w:val="center"/>
              <w:rPr>
                <w:i/>
                <w:iCs/>
                <w:noProof/>
                <w:color w:val="000000"/>
                <w:sz w:val="22"/>
                <w:szCs w:val="22"/>
              </w:rPr>
            </w:pPr>
            <w:r>
              <w:rPr>
                <w:i/>
                <w:noProof/>
                <w:color w:val="000000"/>
                <w:sz w:val="22"/>
              </w:rPr>
              <w:t>Riksdag</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Francie</w:t>
            </w:r>
          </w:p>
        </w:tc>
        <w:tc>
          <w:tcPr>
            <w:tcW w:w="3609" w:type="dxa"/>
            <w:shd w:val="clear" w:color="auto" w:fill="auto"/>
            <w:vAlign w:val="center"/>
          </w:tcPr>
          <w:p>
            <w:pPr>
              <w:jc w:val="center"/>
              <w:rPr>
                <w:i/>
                <w:iCs/>
                <w:noProof/>
                <w:color w:val="000000"/>
                <w:sz w:val="22"/>
                <w:szCs w:val="22"/>
              </w:rPr>
            </w:pPr>
            <w:r>
              <w:rPr>
                <w:i/>
                <w:noProof/>
                <w:color w:val="000000"/>
                <w:sz w:val="22"/>
              </w:rPr>
              <w:t>Assemblée nationale</w:t>
            </w:r>
          </w:p>
        </w:tc>
        <w:tc>
          <w:tcPr>
            <w:tcW w:w="1660" w:type="dxa"/>
            <w:shd w:val="clear" w:color="auto" w:fill="auto"/>
            <w:vAlign w:val="center"/>
          </w:tcPr>
          <w:p>
            <w:pPr>
              <w:jc w:val="center"/>
              <w:rPr>
                <w:noProof/>
                <w:color w:val="000000"/>
                <w:sz w:val="22"/>
                <w:szCs w:val="22"/>
              </w:rPr>
            </w:pPr>
            <w:r>
              <w:rPr>
                <w:noProof/>
                <w:color w:val="000000"/>
                <w:sz w:val="22"/>
              </w:rPr>
              <w:t>16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Rakousko</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Polsko</w:t>
            </w:r>
          </w:p>
        </w:tc>
        <w:tc>
          <w:tcPr>
            <w:tcW w:w="3609" w:type="dxa"/>
            <w:shd w:val="clear" w:color="auto" w:fill="auto"/>
            <w:vAlign w:val="center"/>
          </w:tcPr>
          <w:p>
            <w:pPr>
              <w:jc w:val="center"/>
              <w:rPr>
                <w:i/>
                <w:iCs/>
                <w:noProof/>
                <w:color w:val="000000"/>
                <w:sz w:val="22"/>
                <w:szCs w:val="22"/>
              </w:rPr>
            </w:pPr>
            <w:r>
              <w:rPr>
                <w:i/>
                <w:noProof/>
                <w:color w:val="000000"/>
                <w:sz w:val="22"/>
              </w:rPr>
              <w:t>Senat Rzeczypospolitej Polskiej</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Maďarsko</w:t>
            </w:r>
          </w:p>
        </w:tc>
        <w:tc>
          <w:tcPr>
            <w:tcW w:w="3609" w:type="dxa"/>
            <w:shd w:val="clear" w:color="auto" w:fill="auto"/>
            <w:vAlign w:val="center"/>
          </w:tcPr>
          <w:p>
            <w:pPr>
              <w:jc w:val="center"/>
              <w:rPr>
                <w:i/>
                <w:iCs/>
                <w:noProof/>
                <w:color w:val="000000"/>
                <w:sz w:val="22"/>
                <w:szCs w:val="22"/>
              </w:rPr>
            </w:pPr>
            <w:r>
              <w:rPr>
                <w:i/>
                <w:noProof/>
                <w:color w:val="000000"/>
                <w:sz w:val="22"/>
              </w:rPr>
              <w:t>Országgyűlés</w:t>
            </w:r>
          </w:p>
        </w:tc>
        <w:tc>
          <w:tcPr>
            <w:tcW w:w="1660" w:type="dxa"/>
            <w:shd w:val="clear" w:color="auto" w:fill="auto"/>
            <w:vAlign w:val="center"/>
          </w:tcPr>
          <w:p>
            <w:pPr>
              <w:jc w:val="center"/>
              <w:rPr>
                <w:noProof/>
                <w:color w:val="000000"/>
                <w:sz w:val="22"/>
                <w:szCs w:val="22"/>
              </w:rPr>
            </w:pPr>
            <w:r>
              <w:rPr>
                <w:noProof/>
                <w:color w:val="000000"/>
                <w:sz w:val="22"/>
              </w:rPr>
              <w:t>8</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Německo</w:t>
            </w:r>
          </w:p>
        </w:tc>
        <w:tc>
          <w:tcPr>
            <w:tcW w:w="3609" w:type="dxa"/>
            <w:shd w:val="clear" w:color="auto" w:fill="auto"/>
            <w:vAlign w:val="center"/>
          </w:tcPr>
          <w:p>
            <w:pPr>
              <w:jc w:val="center"/>
              <w:rPr>
                <w:i/>
                <w:iCs/>
                <w:noProof/>
                <w:color w:val="000000"/>
                <w:sz w:val="22"/>
                <w:szCs w:val="22"/>
              </w:rPr>
            </w:pPr>
            <w:r>
              <w:rPr>
                <w:i/>
                <w:noProof/>
                <w:color w:val="000000"/>
                <w:sz w:val="22"/>
              </w:rPr>
              <w:t>Bundestag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Nizozemsko</w:t>
            </w:r>
          </w:p>
        </w:tc>
        <w:tc>
          <w:tcPr>
            <w:tcW w:w="3609" w:type="dxa"/>
            <w:shd w:val="clear" w:color="auto" w:fill="auto"/>
            <w:vAlign w:val="center"/>
          </w:tcPr>
          <w:p>
            <w:pPr>
              <w:jc w:val="center"/>
              <w:rPr>
                <w:i/>
                <w:iCs/>
                <w:noProof/>
                <w:color w:val="000000"/>
                <w:sz w:val="22"/>
                <w:szCs w:val="22"/>
              </w:rPr>
            </w:pPr>
            <w:r>
              <w:rPr>
                <w:i/>
                <w:noProof/>
                <w:color w:val="000000"/>
                <w:sz w:val="22"/>
              </w:rPr>
              <w:t>Eerste Kamer</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Polsko</w:t>
            </w:r>
          </w:p>
        </w:tc>
        <w:tc>
          <w:tcPr>
            <w:tcW w:w="3609" w:type="dxa"/>
            <w:shd w:val="clear" w:color="auto" w:fill="auto"/>
            <w:vAlign w:val="center"/>
          </w:tcPr>
          <w:p>
            <w:pPr>
              <w:jc w:val="center"/>
              <w:rPr>
                <w:i/>
                <w:iCs/>
                <w:noProof/>
                <w:color w:val="000000"/>
                <w:sz w:val="22"/>
                <w:szCs w:val="22"/>
              </w:rPr>
            </w:pPr>
            <w:r>
              <w:rPr>
                <w:i/>
                <w:noProof/>
                <w:color w:val="000000"/>
                <w:sz w:val="22"/>
              </w:rPr>
              <w:t>Sejm Rzeczypospolitej Polskiej</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Irsko</w:t>
            </w:r>
          </w:p>
        </w:tc>
        <w:tc>
          <w:tcPr>
            <w:tcW w:w="3609" w:type="dxa"/>
            <w:shd w:val="clear" w:color="auto" w:fill="auto"/>
            <w:vAlign w:val="center"/>
          </w:tcPr>
          <w:p>
            <w:pPr>
              <w:jc w:val="center"/>
              <w:rPr>
                <w:noProof/>
                <w:color w:val="000000"/>
                <w:sz w:val="22"/>
                <w:szCs w:val="22"/>
              </w:rPr>
            </w:pPr>
            <w:r>
              <w:rPr>
                <w:noProof/>
                <w:color w:val="000000"/>
                <w:sz w:val="22"/>
              </w:rPr>
              <w:t xml:space="preserve">Komory </w:t>
            </w:r>
            <w:r>
              <w:rPr>
                <w:i/>
                <w:noProof/>
                <w:color w:val="000000"/>
                <w:sz w:val="22"/>
              </w:rPr>
              <w:t>Oireachtas:</w:t>
            </w:r>
            <w:r>
              <w:rPr>
                <w:noProof/>
                <w:color w:val="000000"/>
                <w:sz w:val="22"/>
                <w:szCs w:val="22"/>
              </w:rPr>
              <w:br/>
            </w:r>
            <w:r>
              <w:rPr>
                <w:i/>
                <w:noProof/>
                <w:color w:val="000000"/>
                <w:sz w:val="22"/>
              </w:rPr>
              <w:t>Dáil</w:t>
            </w:r>
            <w:r>
              <w:rPr>
                <w:noProof/>
                <w:color w:val="000000"/>
                <w:sz w:val="22"/>
              </w:rPr>
              <w:t xml:space="preserve"> a </w:t>
            </w:r>
            <w:r>
              <w:rPr>
                <w:i/>
                <w:noProof/>
                <w:color w:val="000000"/>
                <w:sz w:val="22"/>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Dánsko</w:t>
            </w:r>
          </w:p>
        </w:tc>
        <w:tc>
          <w:tcPr>
            <w:tcW w:w="3609" w:type="dxa"/>
            <w:shd w:val="clear" w:color="auto" w:fill="auto"/>
            <w:vAlign w:val="center"/>
          </w:tcPr>
          <w:p>
            <w:pPr>
              <w:jc w:val="center"/>
              <w:rPr>
                <w:i/>
                <w:iCs/>
                <w:noProof/>
                <w:color w:val="000000"/>
                <w:sz w:val="22"/>
                <w:szCs w:val="22"/>
              </w:rPr>
            </w:pPr>
            <w:r>
              <w:rPr>
                <w:i/>
                <w:noProof/>
                <w:color w:val="000000"/>
                <w:sz w:val="22"/>
              </w:rPr>
              <w:t>Folketing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Slovensko</w:t>
            </w:r>
          </w:p>
        </w:tc>
        <w:tc>
          <w:tcPr>
            <w:tcW w:w="3609" w:type="dxa"/>
            <w:shd w:val="clear" w:color="auto" w:fill="auto"/>
            <w:vAlign w:val="center"/>
          </w:tcPr>
          <w:p>
            <w:pPr>
              <w:jc w:val="center"/>
              <w:rPr>
                <w:i/>
                <w:iCs/>
                <w:noProof/>
                <w:color w:val="000000"/>
                <w:sz w:val="22"/>
                <w:szCs w:val="22"/>
              </w:rPr>
            </w:pPr>
            <w:r>
              <w:rPr>
                <w:i/>
                <w:noProof/>
                <w:color w:val="000000"/>
                <w:sz w:val="22"/>
              </w:rPr>
              <w:t>Národná rada</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Nizozemsko</w:t>
            </w:r>
          </w:p>
        </w:tc>
        <w:tc>
          <w:tcPr>
            <w:tcW w:w="3609" w:type="dxa"/>
            <w:shd w:val="clear" w:color="auto" w:fill="auto"/>
            <w:vAlign w:val="center"/>
          </w:tcPr>
          <w:p>
            <w:pPr>
              <w:jc w:val="center"/>
              <w:rPr>
                <w:i/>
                <w:iCs/>
                <w:noProof/>
                <w:color w:val="000000"/>
                <w:sz w:val="22"/>
                <w:szCs w:val="22"/>
              </w:rPr>
            </w:pPr>
            <w:r>
              <w:rPr>
                <w:i/>
                <w:noProof/>
                <w:color w:val="000000"/>
                <w:sz w:val="22"/>
              </w:rPr>
              <w:t>Tweede Kamer</w:t>
            </w:r>
          </w:p>
        </w:tc>
        <w:tc>
          <w:tcPr>
            <w:tcW w:w="1660" w:type="dxa"/>
            <w:shd w:val="clear" w:color="auto" w:fill="auto"/>
            <w:vAlign w:val="center"/>
          </w:tcPr>
          <w:p>
            <w:pPr>
              <w:jc w:val="center"/>
              <w:rPr>
                <w:noProof/>
                <w:color w:val="000000"/>
                <w:sz w:val="22"/>
                <w:szCs w:val="22"/>
              </w:rPr>
            </w:pPr>
            <w:r>
              <w:rPr>
                <w:noProof/>
                <w:color w:val="000000"/>
                <w:sz w:val="22"/>
              </w:rPr>
              <w:t>5</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Kypr</w:t>
            </w:r>
          </w:p>
        </w:tc>
        <w:tc>
          <w:tcPr>
            <w:tcW w:w="3609" w:type="dxa"/>
            <w:shd w:val="clear" w:color="auto" w:fill="auto"/>
            <w:vAlign w:val="center"/>
          </w:tcPr>
          <w:p>
            <w:pPr>
              <w:jc w:val="center"/>
              <w:rPr>
                <w:i/>
                <w:iCs/>
                <w:noProof/>
                <w:color w:val="000000"/>
                <w:sz w:val="22"/>
                <w:szCs w:val="22"/>
              </w:rPr>
            </w:pPr>
            <w:r>
              <w:rPr>
                <w:i/>
                <w:noProof/>
                <w:color w:val="000000"/>
                <w:sz w:val="22"/>
              </w:rPr>
              <w:t>Vouli ton Antiprosopon /</w:t>
            </w:r>
            <w:r>
              <w:rPr>
                <w:i/>
                <w:iCs/>
                <w:noProof/>
                <w:color w:val="000000"/>
                <w:sz w:val="22"/>
                <w:szCs w:val="22"/>
              </w:rPr>
              <w:br/>
            </w:r>
            <w:r>
              <w:rPr>
                <w:i/>
                <w:noProof/>
                <w:color w:val="000000"/>
                <w:sz w:val="22"/>
              </w:rPr>
              <w:t>Βουλή των Αντιπροσώπων</w:t>
            </w:r>
          </w:p>
        </w:tc>
        <w:tc>
          <w:tcPr>
            <w:tcW w:w="1660" w:type="dxa"/>
            <w:shd w:val="clear" w:color="auto" w:fill="auto"/>
            <w:vAlign w:val="center"/>
          </w:tcPr>
          <w:p>
            <w:pPr>
              <w:jc w:val="center"/>
              <w:rPr>
                <w:noProof/>
                <w:color w:val="000000"/>
                <w:sz w:val="22"/>
                <w:szCs w:val="22"/>
              </w:rPr>
            </w:pPr>
            <w:r>
              <w:rPr>
                <w:noProof/>
                <w:color w:val="000000"/>
                <w:sz w:val="22"/>
              </w:rPr>
              <w:t>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Spojené království</w:t>
            </w:r>
          </w:p>
        </w:tc>
        <w:tc>
          <w:tcPr>
            <w:tcW w:w="3609" w:type="dxa"/>
            <w:shd w:val="clear" w:color="auto" w:fill="auto"/>
            <w:vAlign w:val="center"/>
          </w:tcPr>
          <w:p>
            <w:pPr>
              <w:jc w:val="center"/>
              <w:rPr>
                <w:noProof/>
                <w:color w:val="000000"/>
                <w:sz w:val="22"/>
                <w:szCs w:val="22"/>
              </w:rPr>
            </w:pPr>
            <w:r>
              <w:rPr>
                <w:noProof/>
                <w:color w:val="000000"/>
                <w:sz w:val="22"/>
              </w:rPr>
              <w:t>Poslanecká sněmovna</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Řecko</w:t>
            </w:r>
          </w:p>
        </w:tc>
        <w:tc>
          <w:tcPr>
            <w:tcW w:w="3609" w:type="dxa"/>
            <w:shd w:val="clear" w:color="auto" w:fill="auto"/>
            <w:vAlign w:val="center"/>
          </w:tcPr>
          <w:p>
            <w:pPr>
              <w:jc w:val="center"/>
              <w:rPr>
                <w:i/>
                <w:iCs/>
                <w:noProof/>
                <w:color w:val="000000"/>
                <w:sz w:val="22"/>
                <w:szCs w:val="22"/>
              </w:rPr>
            </w:pPr>
            <w:r>
              <w:rPr>
                <w:i/>
                <w:noProof/>
                <w:color w:val="000000"/>
                <w:sz w:val="22"/>
              </w:rPr>
              <w:t>Vouli ton Ellinon</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Irsko</w:t>
            </w:r>
          </w:p>
        </w:tc>
        <w:tc>
          <w:tcPr>
            <w:tcW w:w="3609" w:type="dxa"/>
            <w:shd w:val="clear" w:color="auto" w:fill="auto"/>
            <w:vAlign w:val="center"/>
          </w:tcPr>
          <w:p>
            <w:pPr>
              <w:jc w:val="center"/>
              <w:rPr>
                <w:noProof/>
                <w:color w:val="000000"/>
                <w:sz w:val="22"/>
                <w:szCs w:val="22"/>
              </w:rPr>
            </w:pPr>
            <w:r>
              <w:rPr>
                <w:noProof/>
                <w:color w:val="000000"/>
                <w:sz w:val="22"/>
              </w:rPr>
              <w:t xml:space="preserve">Komory </w:t>
            </w:r>
            <w:r>
              <w:rPr>
                <w:i/>
                <w:noProof/>
                <w:color w:val="000000"/>
                <w:sz w:val="22"/>
              </w:rPr>
              <w:t>Oireachtas:</w:t>
            </w:r>
            <w:r>
              <w:rPr>
                <w:noProof/>
                <w:color w:val="000000"/>
                <w:sz w:val="22"/>
                <w:szCs w:val="22"/>
              </w:rPr>
              <w:br/>
            </w:r>
            <w:r>
              <w:rPr>
                <w:i/>
                <w:noProof/>
                <w:color w:val="000000"/>
                <w:sz w:val="22"/>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Belgie</w:t>
            </w:r>
          </w:p>
        </w:tc>
        <w:tc>
          <w:tcPr>
            <w:tcW w:w="3609" w:type="dxa"/>
            <w:shd w:val="clear" w:color="auto" w:fill="auto"/>
            <w:vAlign w:val="center"/>
          </w:tcPr>
          <w:p>
            <w:pPr>
              <w:jc w:val="center"/>
              <w:rPr>
                <w:i/>
                <w:iCs/>
                <w:noProof/>
                <w:color w:val="000000"/>
                <w:sz w:val="22"/>
                <w:szCs w:val="22"/>
              </w:rPr>
            </w:pPr>
            <w:r>
              <w:rPr>
                <w:i/>
                <w:noProof/>
                <w:color w:val="000000"/>
                <w:sz w:val="22"/>
              </w:rPr>
              <w:t>Chambre des Représentants de Belgique / Belgische Kamer van volksvertegenwoordigers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Chorvatsko</w:t>
            </w:r>
          </w:p>
        </w:tc>
        <w:tc>
          <w:tcPr>
            <w:tcW w:w="3609" w:type="dxa"/>
            <w:shd w:val="clear" w:color="auto" w:fill="auto"/>
            <w:vAlign w:val="center"/>
          </w:tcPr>
          <w:p>
            <w:pPr>
              <w:jc w:val="center"/>
              <w:rPr>
                <w:i/>
                <w:iCs/>
                <w:noProof/>
                <w:color w:val="000000"/>
                <w:sz w:val="22"/>
                <w:szCs w:val="22"/>
              </w:rPr>
            </w:pPr>
            <w:r>
              <w:rPr>
                <w:i/>
                <w:noProof/>
                <w:color w:val="000000"/>
                <w:sz w:val="22"/>
              </w:rPr>
              <w:t xml:space="preserve">Hrvatski Sabor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Litva</w:t>
            </w:r>
          </w:p>
        </w:tc>
        <w:tc>
          <w:tcPr>
            <w:tcW w:w="3609" w:type="dxa"/>
            <w:shd w:val="clear" w:color="auto" w:fill="auto"/>
            <w:vAlign w:val="center"/>
          </w:tcPr>
          <w:p>
            <w:pPr>
              <w:jc w:val="center"/>
              <w:rPr>
                <w:i/>
                <w:iCs/>
                <w:noProof/>
                <w:color w:val="000000"/>
                <w:sz w:val="22"/>
                <w:szCs w:val="22"/>
              </w:rPr>
            </w:pPr>
            <w:r>
              <w:rPr>
                <w:i/>
                <w:noProof/>
                <w:color w:val="000000"/>
                <w:sz w:val="22"/>
              </w:rPr>
              <w:t>Seimas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Irsko</w:t>
            </w:r>
          </w:p>
        </w:tc>
        <w:tc>
          <w:tcPr>
            <w:tcW w:w="3609" w:type="dxa"/>
            <w:shd w:val="clear" w:color="auto" w:fill="auto"/>
            <w:vAlign w:val="center"/>
          </w:tcPr>
          <w:p>
            <w:pPr>
              <w:jc w:val="center"/>
              <w:rPr>
                <w:noProof/>
                <w:color w:val="000000"/>
                <w:sz w:val="22"/>
                <w:szCs w:val="22"/>
              </w:rPr>
            </w:pPr>
            <w:r>
              <w:rPr>
                <w:noProof/>
                <w:color w:val="000000"/>
                <w:sz w:val="22"/>
              </w:rPr>
              <w:t xml:space="preserve">Komory </w:t>
            </w:r>
            <w:r>
              <w:rPr>
                <w:i/>
                <w:noProof/>
                <w:color w:val="000000"/>
                <w:sz w:val="22"/>
              </w:rPr>
              <w:t>Oireachtas:</w:t>
            </w:r>
            <w:r>
              <w:rPr>
                <w:noProof/>
                <w:color w:val="000000"/>
                <w:sz w:val="22"/>
                <w:szCs w:val="22"/>
              </w:rPr>
              <w:br/>
            </w:r>
            <w:r>
              <w:rPr>
                <w:i/>
                <w:noProof/>
                <w:color w:val="000000"/>
                <w:sz w:val="22"/>
              </w:rPr>
              <w:t>Dáil</w:t>
            </w:r>
            <w:r>
              <w:rPr>
                <w:noProof/>
                <w:color w:val="000000"/>
                <w:sz w:val="22"/>
              </w:rPr>
              <w:t xml:space="preserve"> </w:t>
            </w:r>
            <w:r>
              <w:rPr>
                <w:i/>
                <w:noProof/>
                <w:color w:val="000000"/>
                <w:sz w:val="22"/>
              </w:rPr>
              <w:t xml:space="preserve">Éireann </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Rakousko</w:t>
            </w:r>
          </w:p>
        </w:tc>
        <w:tc>
          <w:tcPr>
            <w:tcW w:w="3609" w:type="dxa"/>
            <w:shd w:val="clear" w:color="auto" w:fill="auto"/>
            <w:vAlign w:val="center"/>
          </w:tcPr>
          <w:p>
            <w:pPr>
              <w:jc w:val="center"/>
              <w:rPr>
                <w:i/>
                <w:iCs/>
                <w:noProof/>
                <w:color w:val="000000"/>
                <w:sz w:val="22"/>
                <w:szCs w:val="22"/>
              </w:rPr>
            </w:pPr>
            <w:r>
              <w:rPr>
                <w:i/>
                <w:noProof/>
                <w:color w:val="000000"/>
                <w:sz w:val="22"/>
              </w:rPr>
              <w:t>Nationalrat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Belgie</w:t>
            </w:r>
          </w:p>
        </w:tc>
        <w:tc>
          <w:tcPr>
            <w:tcW w:w="3609" w:type="dxa"/>
            <w:shd w:val="clear" w:color="auto" w:fill="auto"/>
            <w:vAlign w:val="center"/>
          </w:tcPr>
          <w:p>
            <w:pPr>
              <w:jc w:val="center"/>
              <w:rPr>
                <w:i/>
                <w:iCs/>
                <w:noProof/>
                <w:color w:val="000000"/>
                <w:sz w:val="22"/>
                <w:szCs w:val="22"/>
              </w:rPr>
            </w:pPr>
            <w:r>
              <w:rPr>
                <w:i/>
                <w:noProof/>
                <w:color w:val="000000"/>
                <w:sz w:val="22"/>
              </w:rPr>
              <w:t>Sénat de Belgique / Belgische Senaat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Bulharsko</w:t>
            </w:r>
          </w:p>
        </w:tc>
        <w:tc>
          <w:tcPr>
            <w:tcW w:w="3609" w:type="dxa"/>
            <w:shd w:val="clear" w:color="auto" w:fill="auto"/>
            <w:vAlign w:val="center"/>
          </w:tcPr>
          <w:p>
            <w:pPr>
              <w:jc w:val="center"/>
              <w:rPr>
                <w:i/>
                <w:iCs/>
                <w:noProof/>
                <w:color w:val="000000"/>
                <w:sz w:val="22"/>
                <w:szCs w:val="22"/>
              </w:rPr>
            </w:pPr>
            <w:r>
              <w:rPr>
                <w:i/>
                <w:noProof/>
                <w:color w:val="000000"/>
                <w:sz w:val="22"/>
              </w:rPr>
              <w:t>Narodno Sabranie</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Lucembursko</w:t>
            </w:r>
          </w:p>
        </w:tc>
        <w:tc>
          <w:tcPr>
            <w:tcW w:w="3609" w:type="dxa"/>
            <w:shd w:val="clear" w:color="auto" w:fill="auto"/>
            <w:vAlign w:val="center"/>
          </w:tcPr>
          <w:p>
            <w:pPr>
              <w:jc w:val="center"/>
              <w:rPr>
                <w:i/>
                <w:iCs/>
                <w:noProof/>
                <w:color w:val="000000"/>
                <w:sz w:val="22"/>
                <w:szCs w:val="22"/>
              </w:rPr>
            </w:pPr>
            <w:r>
              <w:rPr>
                <w:i/>
                <w:noProof/>
                <w:color w:val="000000"/>
                <w:sz w:val="22"/>
              </w:rPr>
              <w:t>Chambre des Députés</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Malta</w:t>
            </w:r>
          </w:p>
        </w:tc>
        <w:tc>
          <w:tcPr>
            <w:tcW w:w="3609" w:type="dxa"/>
            <w:shd w:val="clear" w:color="auto" w:fill="auto"/>
            <w:vAlign w:val="center"/>
          </w:tcPr>
          <w:p>
            <w:pPr>
              <w:jc w:val="center"/>
              <w:rPr>
                <w:i/>
                <w:iCs/>
                <w:noProof/>
                <w:color w:val="000000"/>
                <w:sz w:val="22"/>
                <w:szCs w:val="22"/>
              </w:rPr>
            </w:pPr>
            <w:r>
              <w:rPr>
                <w:i/>
                <w:noProof/>
                <w:color w:val="000000"/>
                <w:sz w:val="22"/>
              </w:rPr>
              <w:t>Kamra tad-Deputati</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Slovinsko</w:t>
            </w:r>
          </w:p>
        </w:tc>
        <w:tc>
          <w:tcPr>
            <w:tcW w:w="3609" w:type="dxa"/>
            <w:shd w:val="clear" w:color="auto" w:fill="auto"/>
            <w:vAlign w:val="center"/>
          </w:tcPr>
          <w:p>
            <w:pPr>
              <w:jc w:val="center"/>
              <w:rPr>
                <w:i/>
                <w:iCs/>
                <w:noProof/>
                <w:color w:val="000000"/>
                <w:sz w:val="22"/>
                <w:szCs w:val="22"/>
              </w:rPr>
            </w:pPr>
            <w:r>
              <w:rPr>
                <w:i/>
                <w:noProof/>
                <w:color w:val="000000"/>
                <w:sz w:val="22"/>
              </w:rPr>
              <w:t>Državni svet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Estonsko</w:t>
            </w:r>
          </w:p>
        </w:tc>
        <w:tc>
          <w:tcPr>
            <w:tcW w:w="3609" w:type="dxa"/>
            <w:shd w:val="clear" w:color="auto" w:fill="auto"/>
            <w:vAlign w:val="center"/>
          </w:tcPr>
          <w:p>
            <w:pPr>
              <w:jc w:val="center"/>
              <w:rPr>
                <w:i/>
                <w:iCs/>
                <w:noProof/>
                <w:color w:val="000000"/>
                <w:sz w:val="22"/>
                <w:szCs w:val="22"/>
              </w:rPr>
            </w:pPr>
            <w:r>
              <w:rPr>
                <w:i/>
                <w:noProof/>
                <w:color w:val="000000"/>
                <w:sz w:val="22"/>
              </w:rPr>
              <w:t>Riigikogu</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Finsko</w:t>
            </w:r>
          </w:p>
        </w:tc>
        <w:tc>
          <w:tcPr>
            <w:tcW w:w="3609" w:type="dxa"/>
            <w:shd w:val="clear" w:color="auto" w:fill="auto"/>
            <w:vAlign w:val="center"/>
          </w:tcPr>
          <w:p>
            <w:pPr>
              <w:jc w:val="center"/>
              <w:rPr>
                <w:i/>
                <w:iCs/>
                <w:noProof/>
                <w:color w:val="000000"/>
                <w:sz w:val="22"/>
                <w:szCs w:val="22"/>
              </w:rPr>
            </w:pPr>
            <w:r>
              <w:rPr>
                <w:i/>
                <w:noProof/>
                <w:color w:val="000000"/>
                <w:sz w:val="22"/>
              </w:rPr>
              <w:t>Eduskunta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Lotyšsko</w:t>
            </w:r>
          </w:p>
        </w:tc>
        <w:tc>
          <w:tcPr>
            <w:tcW w:w="3609" w:type="dxa"/>
            <w:shd w:val="clear" w:color="auto" w:fill="auto"/>
            <w:vAlign w:val="center"/>
          </w:tcPr>
          <w:p>
            <w:pPr>
              <w:jc w:val="center"/>
              <w:rPr>
                <w:i/>
                <w:iCs/>
                <w:noProof/>
                <w:color w:val="000000"/>
                <w:sz w:val="22"/>
                <w:szCs w:val="22"/>
              </w:rPr>
            </w:pPr>
            <w:r>
              <w:rPr>
                <w:i/>
                <w:noProof/>
                <w:color w:val="000000"/>
                <w:sz w:val="22"/>
              </w:rPr>
              <w:t>Saeima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Slovinsko</w:t>
            </w:r>
          </w:p>
        </w:tc>
        <w:tc>
          <w:tcPr>
            <w:tcW w:w="3609" w:type="dxa"/>
            <w:shd w:val="clear" w:color="auto" w:fill="auto"/>
            <w:vAlign w:val="center"/>
          </w:tcPr>
          <w:p>
            <w:pPr>
              <w:jc w:val="center"/>
              <w:rPr>
                <w:i/>
                <w:iCs/>
                <w:noProof/>
                <w:color w:val="000000"/>
                <w:sz w:val="22"/>
                <w:szCs w:val="22"/>
              </w:rPr>
            </w:pPr>
            <w:r>
              <w:rPr>
                <w:i/>
                <w:noProof/>
                <w:color w:val="000000"/>
                <w:sz w:val="22"/>
              </w:rPr>
              <w:t>Državni zbor</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5518" w:type="dxa"/>
            <w:gridSpan w:val="2"/>
            <w:shd w:val="clear" w:color="auto" w:fill="auto"/>
            <w:vAlign w:val="center"/>
          </w:tcPr>
          <w:p>
            <w:pPr>
              <w:jc w:val="center"/>
              <w:rPr>
                <w:b/>
                <w:noProof/>
                <w:sz w:val="22"/>
                <w:szCs w:val="22"/>
              </w:rPr>
            </w:pPr>
            <w:r>
              <w:rPr>
                <w:b/>
                <w:noProof/>
                <w:sz w:val="22"/>
              </w:rPr>
              <w:t>CELKEM</w:t>
            </w:r>
          </w:p>
        </w:tc>
        <w:tc>
          <w:tcPr>
            <w:tcW w:w="1660" w:type="dxa"/>
            <w:shd w:val="clear" w:color="auto" w:fill="auto"/>
          </w:tcPr>
          <w:p>
            <w:pPr>
              <w:jc w:val="center"/>
              <w:rPr>
                <w:b/>
                <w:noProof/>
                <w:sz w:val="22"/>
                <w:szCs w:val="22"/>
              </w:rPr>
            </w:pPr>
            <w:r>
              <w:rPr>
                <w:b/>
                <w:noProof/>
                <w:sz w:val="22"/>
              </w:rPr>
              <w:t>576</w:t>
            </w:r>
          </w:p>
        </w:tc>
        <w:tc>
          <w:tcPr>
            <w:tcW w:w="2364" w:type="dxa"/>
            <w:shd w:val="clear" w:color="auto" w:fill="auto"/>
          </w:tcPr>
          <w:p>
            <w:pPr>
              <w:jc w:val="center"/>
              <w:rPr>
                <w:b/>
                <w:noProof/>
                <w:sz w:val="22"/>
                <w:szCs w:val="22"/>
              </w:rPr>
            </w:pPr>
            <w:r>
              <w:rPr>
                <w:b/>
                <w:noProof/>
                <w:sz w:val="22"/>
              </w:rPr>
              <w:t>52</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Příloha 2</w:t>
      </w:r>
    </w:p>
    <w:p>
      <w:pPr>
        <w:spacing w:after="240"/>
        <w:jc w:val="center"/>
        <w:rPr>
          <w:b/>
          <w:noProof/>
        </w:rPr>
      </w:pPr>
      <w:r>
        <w:rPr>
          <w:b/>
          <w:noProof/>
        </w:rPr>
        <w:t>Dokumenty Komise, k nimž byl vydán nejvyšší počet stanovisek</w:t>
      </w:r>
      <w:r>
        <w:rPr>
          <w:rStyle w:val="FootnoteReference"/>
          <w:noProof/>
        </w:rPr>
        <w:footnoteReference w:id="4"/>
      </w:r>
      <w:r>
        <w:rPr>
          <w:b/>
          <w:noProof/>
        </w:rPr>
        <w:t>, která Komise obdržela v roce 2017 (politický dialog a mechanismus kontroly subsidiarity)</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Dokument</w:t>
            </w:r>
            <w:r>
              <w:rPr>
                <w:b/>
                <w:bCs/>
                <w:noProof/>
                <w:color w:val="000000"/>
                <w:sz w:val="22"/>
                <w:szCs w:val="22"/>
              </w:rPr>
              <w:br/>
            </w:r>
            <w:r>
              <w:rPr>
                <w:b/>
                <w:noProof/>
                <w:color w:val="000000"/>
                <w:sz w:val="22"/>
              </w:rPr>
              <w:t>Komise</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Hlava</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Počet</w:t>
            </w:r>
            <w:r>
              <w:rPr>
                <w:b/>
                <w:bCs/>
                <w:noProof/>
                <w:color w:val="000000"/>
                <w:sz w:val="22"/>
                <w:szCs w:val="22"/>
              </w:rPr>
              <w:br/>
            </w:r>
            <w:r>
              <w:rPr>
                <w:b/>
                <w:noProof/>
                <w:color w:val="000000"/>
                <w:sz w:val="22"/>
              </w:rPr>
              <w:t>stanovisek</w:t>
            </w:r>
            <w:r>
              <w:rPr>
                <w:b/>
                <w:bCs/>
                <w:noProof/>
                <w:color w:val="000000"/>
                <w:sz w:val="22"/>
                <w:szCs w:val="22"/>
              </w:rPr>
              <w:br/>
            </w:r>
            <w:r>
              <w:rPr>
                <w:b/>
                <w:noProof/>
                <w:color w:val="000000"/>
                <w:sz w:val="22"/>
              </w:rPr>
              <w:t>celkem</w:t>
            </w:r>
            <w:r>
              <w:rPr>
                <w:rStyle w:val="FootnoteReference"/>
                <w:b/>
                <w:noProof/>
                <w:color w:val="000000"/>
                <w:sz w:val="22"/>
              </w:rPr>
              <w:footnoteReference w:id="5"/>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Z toho</w:t>
            </w:r>
            <w:r>
              <w:rPr>
                <w:b/>
                <w:bCs/>
                <w:noProof/>
                <w:color w:val="000000"/>
                <w:sz w:val="22"/>
                <w:szCs w:val="22"/>
              </w:rPr>
              <w:br/>
            </w:r>
            <w:r>
              <w:rPr>
                <w:b/>
                <w:noProof/>
                <w:color w:val="000000"/>
                <w:sz w:val="22"/>
              </w:rPr>
              <w:t>odůvodněných</w:t>
            </w:r>
            <w:r>
              <w:rPr>
                <w:b/>
                <w:bCs/>
                <w:noProof/>
                <w:color w:val="000000"/>
                <w:sz w:val="22"/>
                <w:szCs w:val="22"/>
              </w:rPr>
              <w:br/>
            </w:r>
            <w:r>
              <w:rPr>
                <w:b/>
                <w:noProof/>
                <w:color w:val="000000"/>
                <w:sz w:val="22"/>
              </w:rPr>
              <w:t>stanovisek</w:t>
            </w:r>
            <w:r>
              <w:rPr>
                <w:b/>
                <w:bCs/>
                <w:noProof/>
                <w:color w:val="000000"/>
                <w:sz w:val="22"/>
                <w:szCs w:val="22"/>
              </w:rPr>
              <w:br/>
            </w:r>
            <w:r>
              <w:rPr>
                <w:b/>
                <w:noProof/>
                <w:color w:val="000000"/>
                <w:sz w:val="22"/>
              </w:rPr>
              <w:t>(protokol č. 2)</w:t>
            </w:r>
            <w:r>
              <w:rPr>
                <w:rStyle w:val="FootnoteReference"/>
                <w:b/>
                <w:noProof/>
                <w:color w:val="000000"/>
                <w:sz w:val="22"/>
              </w:rPr>
              <w:footnoteReference w:id="6"/>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COM(2016) 861</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 xml:space="preserve">Návrh nařízení Evropského parlamentu a Rady o </w:t>
            </w:r>
            <w:r>
              <w:rPr>
                <w:b/>
                <w:noProof/>
                <w:color w:val="000000"/>
                <w:sz w:val="22"/>
              </w:rPr>
              <w:t>vnitřním trhu s elektřinou</w:t>
            </w:r>
            <w:r>
              <w:rPr>
                <w:noProof/>
                <w:color w:val="000000"/>
                <w:sz w:val="22"/>
              </w:rPr>
              <w:t xml:space="preserve"> (přepracované znění)</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16</w:t>
            </w:r>
            <w:r>
              <w:rPr>
                <w:rStyle w:val="FootnoteReference"/>
                <w:noProof/>
                <w:color w:val="000000"/>
                <w:sz w:val="22"/>
              </w:rPr>
              <w:footnoteReference w:id="7"/>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253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Návrh směrnice Evropského parlamentu a Rady o </w:t>
            </w:r>
            <w:r>
              <w:rPr>
                <w:b/>
                <w:noProof/>
                <w:color w:val="000000"/>
                <w:sz w:val="22"/>
              </w:rPr>
              <w:t xml:space="preserve">rovnováze mezi pracovním a soukromým životem rodičů a pečujících osob </w:t>
            </w:r>
            <w:r>
              <w:rPr>
                <w:noProof/>
                <w:color w:val="000000"/>
                <w:sz w:val="22"/>
              </w:rPr>
              <w:t>a o zrušení směrnice Rady 2010/18/EU</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8"/>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864</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směrnice Evropského parlamentu a Rady o </w:t>
            </w:r>
            <w:r>
              <w:rPr>
                <w:b/>
                <w:noProof/>
                <w:color w:val="000000"/>
                <w:sz w:val="22"/>
              </w:rPr>
              <w:t>společných pravidlech pro vnitřní trh s elektřinou</w:t>
            </w:r>
            <w:r>
              <w:rPr>
                <w:noProof/>
                <w:color w:val="000000"/>
                <w:sz w:val="22"/>
              </w:rPr>
              <w:t xml:space="preserve"> (přepracované znění)</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9"/>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767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směrnice Evropského parlamentu a Rady o </w:t>
            </w:r>
            <w:r>
              <w:rPr>
                <w:b/>
                <w:noProof/>
                <w:color w:val="000000"/>
                <w:sz w:val="22"/>
              </w:rPr>
              <w:t>podpoře využívání energie z obnovitelných zdrojů</w:t>
            </w:r>
            <w:r>
              <w:rPr>
                <w:noProof/>
                <w:color w:val="000000"/>
                <w:sz w:val="22"/>
              </w:rPr>
              <w:t xml:space="preserve"> (přepracované znění)</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10"/>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COM(2017) 10</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 xml:space="preserve">Návrh nařízení Evropského parlamentu a Rady o </w:t>
            </w:r>
            <w:r>
              <w:rPr>
                <w:b/>
                <w:noProof/>
                <w:color w:val="000000"/>
                <w:sz w:val="22"/>
              </w:rPr>
              <w:t>respektování soukromého života a ochraně osobních údajů v elektronických komunikacích</w:t>
            </w:r>
            <w:r>
              <w:rPr>
                <w:noProof/>
                <w:color w:val="000000"/>
                <w:sz w:val="22"/>
              </w:rPr>
              <w:t xml:space="preserve"> a o zrušení směrnice 2002/58/ES (nařízení o soukromí a elektronických komunikacích)</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10</w:t>
            </w:r>
            <w:r>
              <w:rPr>
                <w:rStyle w:val="FootnoteReference"/>
                <w:noProof/>
                <w:color w:val="000000"/>
                <w:sz w:val="22"/>
              </w:rPr>
              <w:footnoteReference w:id="11"/>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6</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822</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směrnice Evropského parlamentu a Rady o </w:t>
            </w:r>
            <w:r>
              <w:rPr>
                <w:b/>
                <w:noProof/>
                <w:color w:val="000000"/>
                <w:sz w:val="22"/>
              </w:rPr>
              <w:t>testu přiměřenosti před přijetím nové právní úpravy povolání</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2"/>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5</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7</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863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nařízení Evropského parlamentu a Rady, kterým se zřizuje </w:t>
            </w:r>
            <w:r>
              <w:rPr>
                <w:b/>
                <w:noProof/>
                <w:color w:val="000000"/>
                <w:sz w:val="22"/>
              </w:rPr>
              <w:t>Agentura Evropské unie pro spolupráci energetických regulačních orgánů</w:t>
            </w:r>
            <w:r>
              <w:rPr>
                <w:noProof/>
                <w:color w:val="000000"/>
                <w:sz w:val="22"/>
              </w:rPr>
              <w:t xml:space="preserve"> (přepracované znění)</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3"/>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8</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821</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směrnice Evropského parlamentu a Rady o prosazování směrnice 2006/123/ES o službách na vnitřním trhu, kterou se stanoví </w:t>
            </w:r>
            <w:r>
              <w:rPr>
                <w:b/>
                <w:noProof/>
                <w:color w:val="000000"/>
                <w:sz w:val="22"/>
              </w:rPr>
              <w:t>postup oznamování pro povolovací režimy a požadavky týkající se služeb</w:t>
            </w:r>
            <w:r>
              <w:rPr>
                <w:noProof/>
                <w:color w:val="000000"/>
                <w:sz w:val="22"/>
              </w:rPr>
              <w:t xml:space="preserve"> a kterou se mění směrnice 2006/123/ES a nařízení (EU) č. 1024/2012 o </w:t>
            </w:r>
            <w:r>
              <w:rPr>
                <w:b/>
                <w:noProof/>
                <w:color w:val="000000"/>
                <w:sz w:val="22"/>
              </w:rPr>
              <w:t>správní spolupráci prostřednictvím systému pro výměnu informací o vnitřním trhu</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r>
              <w:rPr>
                <w:rStyle w:val="FootnoteReference"/>
                <w:noProof/>
                <w:color w:val="000000"/>
                <w:sz w:val="22"/>
              </w:rPr>
              <w:footnoteReference w:id="14"/>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9</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815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nařízení Evropského parlamentu a Rady, kterým se mění nařízení (ES) č. 883/2004 o </w:t>
            </w:r>
            <w:r>
              <w:rPr>
                <w:b/>
                <w:noProof/>
                <w:color w:val="000000"/>
                <w:sz w:val="22"/>
              </w:rPr>
              <w:t>koordinaci systémů sociálního zabezpečení</w:t>
            </w:r>
            <w:r>
              <w:rPr>
                <w:noProof/>
                <w:color w:val="000000"/>
                <w:sz w:val="22"/>
              </w:rPr>
              <w:t xml:space="preserve"> a nařízení (ES) č. 987/2009, kterým se stanoví prováděcí pravidla k nařízení (ES) č. 883/2004</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10</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710</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b/>
                <w:noProof/>
                <w:color w:val="000000"/>
                <w:sz w:val="22"/>
              </w:rPr>
              <w:t>Pracovní program Komise na rok 2017</w:t>
            </w:r>
            <w:r>
              <w:rPr>
                <w:noProof/>
                <w:color w:val="000000"/>
                <w:sz w:val="22"/>
              </w:rPr>
              <w:t>: Evropa, která chrání, posiluje a brání</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11</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765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směrnice Evropského parlamentu a Rady, kterou se mění směrnice 2010/31/EU o </w:t>
            </w:r>
            <w:r>
              <w:rPr>
                <w:b/>
                <w:noProof/>
                <w:color w:val="000000"/>
                <w:sz w:val="22"/>
              </w:rPr>
              <w:t>energetické náročnosti budov</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5"/>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723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směrnice Evropského parlamentu a Rady o </w:t>
            </w:r>
            <w:r>
              <w:rPr>
                <w:b/>
                <w:noProof/>
                <w:color w:val="000000"/>
                <w:sz w:val="22"/>
              </w:rPr>
              <w:t>rámcích pro preventivní restrukturalizaci, druhé šanci a opatřeních ke zvýšení účinnosti postupů restrukturalizace, insolvence a oddlužení</w:t>
            </w:r>
            <w:r>
              <w:rPr>
                <w:noProof/>
                <w:color w:val="000000"/>
                <w:sz w:val="22"/>
              </w:rPr>
              <w:t xml:space="preserve"> a o změně směrnice 2012/30/EU</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759</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nařízení Evropského parlamentu a Rady, předložený Komisí, o </w:t>
            </w:r>
            <w:r>
              <w:rPr>
                <w:b/>
                <w:noProof/>
                <w:color w:val="000000"/>
                <w:sz w:val="22"/>
              </w:rPr>
              <w:t>správě energetické unie</w:t>
            </w:r>
            <w:r>
              <w:rPr>
                <w:noProof/>
                <w:color w:val="000000"/>
                <w:sz w:val="22"/>
              </w:rPr>
              <w:t>, kterým se mění směrnice 94/22/ES, směrnice 98/70/ES, směrnice 2009/31/ES, nařízení (ES) č. 663/2009, nařízení (ES) č. 715/2009, směrnice 2009/73/ES, směrnice Rady 2009/119/ES, směrnice 2010/31/EU, směrnice 2012/27/EU, směrnice 2013/30/EU a směrnice Rady (EU) 2015/652 a zrušuje nařízení (EU) č. 525/2013.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6"/>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277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Návrh nařízení Evropského parlamentu a Rady, kterým se mění nařízení (ES) č. 561/2006, pokud jde o </w:t>
            </w:r>
            <w:r>
              <w:rPr>
                <w:b/>
                <w:noProof/>
                <w:color w:val="000000"/>
                <w:sz w:val="22"/>
              </w:rPr>
              <w:t>minimální požadavky na maximální denní a týdenní dobu řízení</w:t>
            </w:r>
            <w:r>
              <w:rPr>
                <w:noProof/>
                <w:color w:val="000000"/>
                <w:sz w:val="22"/>
              </w:rPr>
              <w:t xml:space="preserve">, minimální přestávky v řízení a týdenní doby odpočinku, a nařízení (EU) 165/2014, pokud jde o určování polohy pomocí </w:t>
            </w:r>
            <w:r>
              <w:rPr>
                <w:b/>
                <w:noProof/>
                <w:color w:val="000000"/>
                <w:sz w:val="22"/>
              </w:rPr>
              <w:t>tachografů</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7"/>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bl>
    <w:p>
      <w:pPr>
        <w:rPr>
          <w:b/>
          <w:noProof/>
        </w:rPr>
      </w:pPr>
      <w:r>
        <w:rPr>
          <w:noProof/>
        </w:rPr>
        <w:br w:type="page"/>
      </w:r>
    </w:p>
    <w:p>
      <w:pPr>
        <w:spacing w:after="240"/>
        <w:jc w:val="center"/>
        <w:rPr>
          <w:b/>
          <w:noProof/>
          <w:u w:val="single"/>
        </w:rPr>
      </w:pPr>
      <w:r>
        <w:rPr>
          <w:b/>
          <w:noProof/>
          <w:u w:val="single"/>
        </w:rPr>
        <w:t>Příloha 3</w:t>
      </w:r>
    </w:p>
    <w:p>
      <w:pPr>
        <w:spacing w:after="240"/>
        <w:jc w:val="center"/>
        <w:rPr>
          <w:b/>
          <w:noProof/>
        </w:rPr>
      </w:pPr>
      <w:r>
        <w:rPr>
          <w:b/>
          <w:noProof/>
        </w:rPr>
        <w:t>Počet stanovisek, která Komise obdržela v roce 2017, rozdělených podle útvarů Komise (politický dialog a mechanismus kontroly subsidiarity)</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7160"/>
        <w:gridCol w:w="1980"/>
      </w:tblGrid>
      <w:tr>
        <w:trPr>
          <w:trHeight w:val="340"/>
        </w:trPr>
        <w:tc>
          <w:tcPr>
            <w:tcW w:w="0" w:type="auto"/>
            <w:vAlign w:val="center"/>
          </w:tcPr>
          <w:p>
            <w:pPr>
              <w:jc w:val="center"/>
              <w:rPr>
                <w:rFonts w:ascii="Times New Roman" w:hAnsi="Times New Roman" w:cs="Times New Roman"/>
                <w:b/>
                <w:noProof/>
                <w:sz w:val="22"/>
              </w:rPr>
            </w:pPr>
            <w:r>
              <w:rPr>
                <w:rFonts w:ascii="Times New Roman" w:hAnsi="Times New Roman"/>
                <w:b/>
                <w:noProof/>
                <w:sz w:val="22"/>
              </w:rPr>
              <w:t>Útvar Komise</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Počet stanovisek</w:t>
            </w:r>
            <w:r>
              <w:rPr>
                <w:rFonts w:ascii="Times New Roman" w:hAnsi="Times New Roman" w:cs="Times New Roman"/>
                <w:b/>
                <w:noProof/>
                <w:sz w:val="22"/>
              </w:rPr>
              <w:br/>
            </w:r>
            <w:r>
              <w:rPr>
                <w:rFonts w:ascii="Times New Roman" w:hAnsi="Times New Roman"/>
                <w:b/>
                <w:noProof/>
                <w:sz w:val="22"/>
              </w:rPr>
              <w:t>celkem</w:t>
            </w:r>
            <w:r>
              <w:rPr>
                <w:rStyle w:val="FootnoteReference"/>
                <w:rFonts w:ascii="Times New Roman" w:hAnsi="Times New Roman"/>
                <w:noProof/>
                <w:sz w:val="22"/>
              </w:rPr>
              <w:footnoteReference w:id="18"/>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Generální sekretariát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energetiku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Generální ředitelství pro vnitřní trh, průmysl, podnikání a malé a střední podniky (GROW)</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52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migraci a vnitřní věci</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spravedlnost a spotřebitele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mobilitu a dopravu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GŘ pro finanční stabilitu, finanční služby a kapitálové trhy (FISMA)</w:t>
            </w:r>
          </w:p>
        </w:tc>
        <w:tc>
          <w:tcPr>
            <w:tcW w:w="2234" w:type="dxa"/>
            <w:noWrap/>
          </w:tcPr>
          <w:p>
            <w:pPr>
              <w:jc w:val="center"/>
              <w:rPr>
                <w:rFonts w:ascii="Times New Roman" w:hAnsi="Times New Roman" w:cs="Times New Roman"/>
                <w:noProof/>
                <w:sz w:val="22"/>
              </w:rPr>
            </w:pPr>
            <w:r>
              <w:rPr>
                <w:rFonts w:ascii="Times New Roman" w:hAnsi="Times New Roman"/>
                <w:noProof/>
                <w:sz w:val="22"/>
              </w:rPr>
              <w:t>33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komunikační sítě, obsah a technologie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daně a celní unii</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29</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vzdělávání, mládež, sport a kulturu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zaměstnanost, sociální věci a sociální začleňování</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zemědělství a rozvoj venkova</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životní prostředí</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Evropská služba pro vnější činnost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r>
              <w:rPr>
                <w:rStyle w:val="FootnoteReference"/>
                <w:rFonts w:ascii="Times New Roman" w:hAnsi="Times New Roman"/>
                <w:noProof/>
                <w:sz w:val="22"/>
              </w:rPr>
              <w:footnoteReference w:id="19"/>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obchod</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Pracovní skupina podle článku 50</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9</w:t>
            </w:r>
            <w:r>
              <w:rPr>
                <w:rStyle w:val="FootnoteReference"/>
                <w:rFonts w:ascii="Times New Roman" w:hAnsi="Times New Roman"/>
                <w:noProof/>
                <w:sz w:val="22"/>
              </w:rPr>
              <w:footnoteReference w:id="20"/>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Eurostat – evropská statistika</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hospodářskou soutěž</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regionální a městskou politiku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GŘ pro rozpočet</w:t>
            </w:r>
          </w:p>
        </w:tc>
        <w:tc>
          <w:tcPr>
            <w:tcW w:w="2234" w:type="dxa"/>
            <w:noWrap/>
          </w:tcPr>
          <w:p>
            <w:pPr>
              <w:jc w:val="center"/>
              <w:rPr>
                <w:rFonts w:ascii="Times New Roman" w:hAnsi="Times New Roman" w:cs="Times New Roman"/>
                <w:noProof/>
                <w:sz w:val="22"/>
              </w:rPr>
            </w:pPr>
            <w:r>
              <w:rPr>
                <w:rFonts w:ascii="Times New Roman" w:hAnsi="Times New Roman"/>
                <w:noProof/>
                <w:sz w:val="22"/>
              </w:rPr>
              <w:t>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hospodářské a finanční záležitosti</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námořní záležitosti a rybolov</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GŘ pro mezinárodní spolupráci a rozvoj</w:t>
            </w:r>
          </w:p>
        </w:tc>
        <w:tc>
          <w:tcPr>
            <w:tcW w:w="2234" w:type="dxa"/>
            <w:noWrap/>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politiku sousedství a jednání o rozšíření</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výzkum a inovace (RTD)</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zdraví a bezpečnost potravin</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GŘ pro oblast klimatu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w:t>
            </w:r>
          </w:p>
        </w:tc>
      </w:tr>
      <w:tr>
        <w:trPr>
          <w:trHeight w:val="340"/>
        </w:trPr>
        <w:tc>
          <w:tcPr>
            <w:tcW w:w="0" w:type="auto"/>
            <w:vAlign w:val="center"/>
          </w:tcPr>
          <w:p>
            <w:pPr>
              <w:rPr>
                <w:rFonts w:ascii="Times New Roman" w:hAnsi="Times New Roman" w:cs="Times New Roman"/>
                <w:noProof/>
                <w:sz w:val="22"/>
              </w:rPr>
            </w:pPr>
            <w:r>
              <w:rPr>
                <w:rFonts w:ascii="Times New Roman" w:hAnsi="Times New Roman"/>
                <w:noProof/>
                <w:sz w:val="22"/>
              </w:rPr>
              <w:t>CELKEM</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576</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Tento počet zahrnuje stanoviska i odůvodněná stanoviska obdržená od vnitrostátních parlamentů.</w:t>
      </w:r>
    </w:p>
  </w:footnote>
  <w:footnote w:id="2">
    <w:p>
      <w:pPr>
        <w:pStyle w:val="FootnoteText"/>
        <w:ind w:left="284" w:hanging="284"/>
      </w:pPr>
      <w:r>
        <w:rPr>
          <w:rStyle w:val="FootnoteReference"/>
        </w:rPr>
        <w:footnoteRef/>
      </w:r>
      <w:r>
        <w:t xml:space="preserve"> </w:t>
      </w:r>
      <w:r>
        <w:tab/>
        <w:t>Aby odůvodněné stanovisko odpovídalo definici uvedené v protokolu č. 2, musí jednoznačně uvádět porušení zásady subsidiarity a musí být Komisi zasláno do osmi týdnů od postoupení legislativního návrhu vnitrostátním parlamentům.</w:t>
      </w:r>
    </w:p>
  </w:footnote>
  <w:footnote w:id="3">
    <w:p>
      <w:pPr>
        <w:pStyle w:val="FootnoteText"/>
        <w:ind w:left="284" w:hanging="284"/>
      </w:pPr>
      <w:r>
        <w:rPr>
          <w:rStyle w:val="FootnoteReference"/>
        </w:rPr>
        <w:footnoteRef/>
      </w:r>
      <w:r>
        <w:t xml:space="preserve">    Počítáno jako třicet osm společných stanovisek ze dvou komor.</w:t>
      </w:r>
    </w:p>
  </w:footnote>
  <w:footnote w:id="4">
    <w:p>
      <w:pPr>
        <w:pStyle w:val="FootnoteText"/>
        <w:tabs>
          <w:tab w:val="left" w:pos="284"/>
        </w:tabs>
        <w:ind w:left="284" w:hanging="284"/>
      </w:pPr>
      <w:r>
        <w:rPr>
          <w:rStyle w:val="FootnoteReference"/>
        </w:rPr>
        <w:footnoteRef/>
      </w:r>
      <w:r>
        <w:t xml:space="preserve"> </w:t>
      </w:r>
      <w:r>
        <w:tab/>
        <w:t>Tabulka uvádí všechny dokumenty Komise, jichž se týkalo alespoň sedm obdržených stanovisek.</w:t>
      </w:r>
    </w:p>
  </w:footnote>
  <w:footnote w:id="5">
    <w:p>
      <w:pPr>
        <w:pStyle w:val="FootnoteText"/>
        <w:ind w:left="284" w:hanging="284"/>
      </w:pPr>
      <w:r>
        <w:rPr>
          <w:rStyle w:val="FootnoteReference"/>
        </w:rPr>
        <w:footnoteRef/>
      </w:r>
      <w:r>
        <w:t xml:space="preserve"> </w:t>
      </w:r>
      <w:r>
        <w:tab/>
        <w:t>Tento počet zahrnuje stanoviska i odůvodněná stanoviska obdržená od vnitrostátních parlamentů.</w:t>
      </w:r>
    </w:p>
  </w:footnote>
  <w:footnote w:id="6">
    <w:p>
      <w:pPr>
        <w:pStyle w:val="FootnoteText"/>
        <w:ind w:left="284" w:hanging="284"/>
      </w:pPr>
      <w:r>
        <w:rPr>
          <w:rStyle w:val="FootnoteReference"/>
        </w:rPr>
        <w:footnoteRef/>
      </w:r>
      <w:r>
        <w:t xml:space="preserve"> </w:t>
      </w:r>
      <w:r>
        <w:tab/>
        <w:t>Aby odůvodněné stanovisko odpovídalo definici uvedené v protokolu č. 2, musí jednoznačně uvádět porušení zásady subsidiarity a musí být Komisi zasláno do osmi týdnů od postoupení legislativního návrhu vnitrostátním parlamentům.</w:t>
      </w:r>
    </w:p>
  </w:footnote>
  <w:footnote w:id="7">
    <w:p>
      <w:pPr>
        <w:pStyle w:val="FootnoteText"/>
        <w:ind w:left="284" w:hanging="284"/>
      </w:pPr>
      <w:r>
        <w:rPr>
          <w:rStyle w:val="FootnoteReference"/>
        </w:rPr>
        <w:footnoteRef/>
      </w:r>
      <w:r>
        <w:t xml:space="preserve"> </w:t>
      </w:r>
      <w:r>
        <w:tab/>
        <w:t xml:space="preserve">Jedno ze stanovisek k tomuto dokumentu Komise předložené českým </w:t>
      </w:r>
      <w:r>
        <w:rPr>
          <w:i/>
        </w:rPr>
        <w:t>Senátem</w:t>
      </w:r>
      <w:r>
        <w:t xml:space="preserve"> se týkalo zároveň dokumentů COM(2016) 864, COM(2016) 862, COM(2016) 863 a COM(2016) 861. Jedno stanovisko předložené portugalským </w:t>
      </w:r>
      <w:r>
        <w:rPr>
          <w:i/>
        </w:rPr>
        <w:t xml:space="preserve">Assambleia da República </w:t>
      </w:r>
      <w:r>
        <w:t xml:space="preserve">se týkalo zároveň dokumentů COM(2016) 864, COM(2016) 863 a COM(2016) 861. </w:t>
      </w:r>
    </w:p>
  </w:footnote>
  <w:footnote w:id="8">
    <w:p>
      <w:pPr>
        <w:pStyle w:val="FootnoteText"/>
        <w:ind w:left="284" w:hanging="284"/>
      </w:pPr>
      <w:r>
        <w:rPr>
          <w:rStyle w:val="FootnoteReference"/>
        </w:rPr>
        <w:footnoteRef/>
      </w:r>
      <w:r>
        <w:t xml:space="preserve"> </w:t>
      </w:r>
      <w:r>
        <w:tab/>
        <w:t xml:space="preserve">Dvě stanoviska předložená portugalským </w:t>
      </w:r>
      <w:r>
        <w:rPr>
          <w:i/>
        </w:rPr>
        <w:t>Assambleia da República</w:t>
      </w:r>
      <w:r>
        <w:t xml:space="preserve"> a rumunskou </w:t>
      </w:r>
      <w:r>
        <w:rPr>
          <w:i/>
        </w:rPr>
        <w:t xml:space="preserve">Camera Deputaților, </w:t>
      </w:r>
      <w:r>
        <w:t xml:space="preserve">se týkala zároveň dokumentů COM(2017) 253 a COM(2017) 252. </w:t>
      </w:r>
    </w:p>
  </w:footnote>
  <w:footnote w:id="9">
    <w:p>
      <w:pPr>
        <w:pStyle w:val="FootnoteText"/>
        <w:ind w:left="284" w:hanging="284"/>
      </w:pPr>
      <w:r>
        <w:rPr>
          <w:rStyle w:val="FootnoteReference"/>
        </w:rPr>
        <w:footnoteRef/>
      </w:r>
      <w:r>
        <w:t xml:space="preserve"> </w:t>
      </w:r>
      <w:r>
        <w:tab/>
        <w:t xml:space="preserve">Jedno ze stanovisek k tomuto dokumentu Komise, které předložily španělské </w:t>
      </w:r>
      <w:r>
        <w:rPr>
          <w:i/>
        </w:rPr>
        <w:t>Cortes Generales</w:t>
      </w:r>
      <w:r>
        <w:t xml:space="preserve">, se týkalo zároveň dokumentů COM(2016) 864 a COM(2016) 767. Jedno stanovisko předložené českým </w:t>
      </w:r>
      <w:r>
        <w:rPr>
          <w:i/>
        </w:rPr>
        <w:t>Senátem</w:t>
      </w:r>
      <w:r>
        <w:t xml:space="preserve"> se týkalo zároveň dokumentů COM(2016) 864, COM(2016) 862, COM(2016) 863 a COM(2016) 861. Jedno stanovisko předložené portugalským </w:t>
      </w:r>
      <w:r>
        <w:rPr>
          <w:i/>
        </w:rPr>
        <w:t xml:space="preserve">Assambleia da República </w:t>
      </w:r>
      <w:r>
        <w:t>se týkalo zároveň dokumentů COM(2016) 864, COM(2016) 863 a COM(2016) 861.</w:t>
      </w:r>
    </w:p>
  </w:footnote>
  <w:footnote w:id="10">
    <w:p>
      <w:pPr>
        <w:pStyle w:val="FootnoteText"/>
        <w:ind w:left="284" w:hanging="284"/>
      </w:pPr>
      <w:r>
        <w:rPr>
          <w:rStyle w:val="FootnoteReference"/>
        </w:rPr>
        <w:footnoteRef/>
      </w:r>
      <w:r>
        <w:t xml:space="preserve"> </w:t>
      </w:r>
      <w:r>
        <w:tab/>
        <w:t xml:space="preserve">Jedno ze stanovisek k tomuto dokumentu Komise, které předložil český </w:t>
      </w:r>
      <w:r>
        <w:rPr>
          <w:i/>
        </w:rPr>
        <w:t>Senát</w:t>
      </w:r>
      <w:r>
        <w:t xml:space="preserve">, se týkalo zároveň dokumentů COM(2016) 759 a COM(2016) 767. Jedno stanovisko předložené českou </w:t>
      </w:r>
      <w:r>
        <w:rPr>
          <w:i/>
        </w:rPr>
        <w:t>Poslaneckou sněmovnou</w:t>
      </w:r>
      <w:r>
        <w:t xml:space="preserve"> se týkalo zároveň dokumentů COM(2016) 759, COM(2016) 767, COM(2016) 761 a COM(2016) 760.</w:t>
      </w:r>
    </w:p>
  </w:footnote>
  <w:footnote w:id="11">
    <w:p>
      <w:pPr>
        <w:pStyle w:val="FootnoteText"/>
        <w:ind w:left="284" w:hanging="284"/>
      </w:pPr>
      <w:r>
        <w:rPr>
          <w:rStyle w:val="FootnoteReference"/>
        </w:rPr>
        <w:footnoteRef/>
      </w:r>
      <w:r>
        <w:t xml:space="preserve"> </w:t>
      </w:r>
      <w:r>
        <w:tab/>
        <w:t xml:space="preserve">Jedno ze stanovisek k tomuto dokumentu Komise předložené českou </w:t>
      </w:r>
      <w:r>
        <w:rPr>
          <w:i/>
        </w:rPr>
        <w:t>Poslaneckou sněmovnou</w:t>
      </w:r>
      <w:r>
        <w:t xml:space="preserve"> se týkalo zároveň dokumentů COM(2017) 10, COM(2017) 8 a COM(2017) 7. </w:t>
      </w:r>
    </w:p>
  </w:footnote>
  <w:footnote w:id="12">
    <w:p>
      <w:pPr>
        <w:pStyle w:val="FootnoteText"/>
        <w:ind w:left="284" w:hanging="284"/>
      </w:pPr>
      <w:r>
        <w:rPr>
          <w:rStyle w:val="FootnoteReference"/>
        </w:rPr>
        <w:footnoteRef/>
      </w:r>
      <w:r>
        <w:t xml:space="preserve"> </w:t>
      </w:r>
      <w:r>
        <w:tab/>
        <w:t xml:space="preserve">Jedno ze stanovisek k tomuto dokumentu Komise od </w:t>
      </w:r>
      <w:r>
        <w:rPr>
          <w:i/>
        </w:rPr>
        <w:t>Assambleia da República</w:t>
      </w:r>
      <w:r>
        <w:t xml:space="preserve"> (PT) se týkalo zároveň dokumentů COM(2016) 824, COM(2016) 823, COM(2016) 821, COM(2016) 822 a COM(2016) 820. Jedno stanovisko předložené španělskými </w:t>
      </w:r>
      <w:r>
        <w:rPr>
          <w:i/>
        </w:rPr>
        <w:t>Cortes Generales</w:t>
      </w:r>
      <w:r>
        <w:t xml:space="preserve"> se týkalo zároveň dokumentů COM(2016) 824, COM(2016) 823 a COM(2016) 822.</w:t>
      </w:r>
    </w:p>
  </w:footnote>
  <w:footnote w:id="13">
    <w:p>
      <w:pPr>
        <w:pStyle w:val="FootnoteText"/>
        <w:ind w:left="284" w:hanging="284"/>
      </w:pPr>
      <w:r>
        <w:rPr>
          <w:rStyle w:val="FootnoteReference"/>
        </w:rPr>
        <w:footnoteRef/>
      </w:r>
      <w:r>
        <w:t xml:space="preserve"> </w:t>
      </w:r>
      <w:r>
        <w:tab/>
        <w:t xml:space="preserve">Jedno ze stanovisek k tomuto dokumentu Komise předložené českým </w:t>
      </w:r>
      <w:r>
        <w:rPr>
          <w:i/>
        </w:rPr>
        <w:t>Senátem</w:t>
      </w:r>
      <w:r>
        <w:t xml:space="preserve"> se týkalo zároveň dokumentů COM(2016) 864, COM(2016) 862, COM(2016) 863 a COM(2016) 861. Jedno stanovisko předložené portugalským </w:t>
      </w:r>
      <w:r>
        <w:rPr>
          <w:i/>
        </w:rPr>
        <w:t xml:space="preserve">Assambleia da República </w:t>
      </w:r>
      <w:r>
        <w:t>se týkalo zároveň dokumentů COM(2016) 864, COM(2016) 863 a COM(2016) 861. Jedno stanovisko, které předložil francouzský Sénat, se týkalo zároveň dokumentů COM(2016) 863 a COM(2016) 861. Jedno stanovisko předložené rakouskou</w:t>
      </w:r>
      <w:r>
        <w:rPr>
          <w:i/>
        </w:rPr>
        <w:t>Bundesrat</w:t>
      </w:r>
      <w:r>
        <w:t xml:space="preserve"> se týkalo zároveň dokumentů COM(2016) 862 a COM(2016) 863.</w:t>
      </w:r>
    </w:p>
  </w:footnote>
  <w:footnote w:id="14">
    <w:p>
      <w:pPr>
        <w:pStyle w:val="FootnoteText"/>
        <w:ind w:left="284" w:hanging="284"/>
      </w:pPr>
      <w:r>
        <w:rPr>
          <w:rStyle w:val="FootnoteReference"/>
        </w:rPr>
        <w:footnoteRef/>
      </w:r>
      <w:r>
        <w:t xml:space="preserve"> </w:t>
      </w:r>
      <w:r>
        <w:tab/>
        <w:t xml:space="preserve">Jedno ze stanovisek k tomuto dokumentu Komise od </w:t>
      </w:r>
      <w:r>
        <w:rPr>
          <w:i/>
        </w:rPr>
        <w:t>Assambleia da República</w:t>
      </w:r>
      <w:r>
        <w:t xml:space="preserve"> (PT) se týkalo zároveň dokumentů COM(2016) 824, COM(2016) 823, COM(2016) 863, COM(2016) 822 a COM(2016) 820. </w:t>
      </w:r>
    </w:p>
  </w:footnote>
  <w:footnote w:id="15">
    <w:p>
      <w:pPr>
        <w:pStyle w:val="FootnoteText"/>
        <w:ind w:left="284" w:hanging="284"/>
      </w:pPr>
      <w:r>
        <w:rPr>
          <w:rStyle w:val="FootnoteReference"/>
        </w:rPr>
        <w:footnoteRef/>
      </w:r>
      <w:r>
        <w:t xml:space="preserve"> </w:t>
      </w:r>
      <w:r>
        <w:tab/>
        <w:t xml:space="preserve">Dvě stanoviska předložená rakouskou </w:t>
      </w:r>
      <w:r>
        <w:rPr>
          <w:i/>
        </w:rPr>
        <w:t>Bundesrat</w:t>
      </w:r>
      <w:r>
        <w:t xml:space="preserve"> a portugalským </w:t>
      </w:r>
      <w:r>
        <w:rPr>
          <w:i/>
        </w:rPr>
        <w:t>Assambleia da República</w:t>
      </w:r>
      <w:r>
        <w:t xml:space="preserve"> se týkala zároveň dokumentů COM(2016) 765 a COM(2016) 761. Jedno stanovisko předložené českým </w:t>
      </w:r>
      <w:r>
        <w:rPr>
          <w:i/>
        </w:rPr>
        <w:t>Senátem</w:t>
      </w:r>
      <w:r>
        <w:t xml:space="preserve"> se týkalo zároveň dokumentů COM(2017) 277 a COM(2016) 765 a COM(2016) 761. </w:t>
      </w:r>
    </w:p>
  </w:footnote>
  <w:footnote w:id="16">
    <w:p>
      <w:pPr>
        <w:pStyle w:val="FootnoteText"/>
        <w:ind w:left="284" w:hanging="284"/>
      </w:pPr>
      <w:r>
        <w:rPr>
          <w:rStyle w:val="FootnoteReference"/>
        </w:rPr>
        <w:footnoteRef/>
      </w:r>
      <w:r>
        <w:t xml:space="preserve"> </w:t>
      </w:r>
      <w:r>
        <w:tab/>
        <w:t xml:space="preserve">Jedno ze stanovisek k tomuto dokumentu Komise, které předložil český </w:t>
      </w:r>
      <w:r>
        <w:rPr>
          <w:i/>
        </w:rPr>
        <w:t>Senát</w:t>
      </w:r>
      <w:r>
        <w:t xml:space="preserve">, se týkalo zároveň dokumentů COM(2016) 759 a COM(2016) 767. Jedno stanovisko předložené českou </w:t>
      </w:r>
      <w:r>
        <w:rPr>
          <w:i/>
        </w:rPr>
        <w:t>Poslaneckou sněmovnou</w:t>
      </w:r>
      <w:r>
        <w:t xml:space="preserve"> se týkalo zároveň dokumentů COM(2016) 759, COM(2016) 767, COM(2016) 761 a COM(2016) 860. Jedno stanovisko, které předložil polský </w:t>
      </w:r>
      <w:r>
        <w:rPr>
          <w:i/>
        </w:rPr>
        <w:t>Sejm</w:t>
      </w:r>
      <w:r>
        <w:t xml:space="preserve">, se týkalo zároveň dokumentů COM(2016) 759 a COM(2016) 860. Jedno stanovisko předložené španělskými </w:t>
      </w:r>
      <w:r>
        <w:rPr>
          <w:i/>
        </w:rPr>
        <w:t>Cortes Generales</w:t>
      </w:r>
      <w:r>
        <w:t xml:space="preserve"> se týkalo zároveň dokumentů COM(2016) 759 a COM(2016) 862. </w:t>
      </w:r>
    </w:p>
  </w:footnote>
  <w:footnote w:id="17">
    <w:p>
      <w:pPr>
        <w:pStyle w:val="FootnoteText"/>
        <w:ind w:left="284" w:hanging="284"/>
      </w:pPr>
      <w:r>
        <w:rPr>
          <w:rStyle w:val="FootnoteReference"/>
        </w:rPr>
        <w:footnoteRef/>
      </w:r>
      <w:r>
        <w:t xml:space="preserve"> </w:t>
      </w:r>
      <w:r>
        <w:tab/>
        <w:t xml:space="preserve">Dvě stanoviska předložená maďarským </w:t>
      </w:r>
      <w:r>
        <w:rPr>
          <w:i/>
        </w:rPr>
        <w:t xml:space="preserve">Országgyűlés </w:t>
      </w:r>
      <w:r>
        <w:t xml:space="preserve">a portugalským </w:t>
      </w:r>
      <w:r>
        <w:rPr>
          <w:i/>
        </w:rPr>
        <w:t>Assambleia da República</w:t>
      </w:r>
      <w:r>
        <w:t xml:space="preserve"> se týkala zároveň dokumentů COM(2017) 277 a COM(2017) 278. Jedno stanovisko, které předložil francouzský </w:t>
      </w:r>
      <w:r>
        <w:rPr>
          <w:i/>
        </w:rPr>
        <w:t>Sénat,</w:t>
      </w:r>
      <w:r>
        <w:t xml:space="preserve"> se týkalo zároveň dokumentů COM(2017) 277, COM(2017) 278 a COM(2017) 281. Jedno stanovisko předložené českým </w:t>
      </w:r>
      <w:r>
        <w:rPr>
          <w:i/>
        </w:rPr>
        <w:t>Senátem</w:t>
      </w:r>
      <w:r>
        <w:t xml:space="preserve"> se týkalo zároveň dokumentů COM(2017) 282, COM(2017) 277, COM(2017) 278 a COM(2017) 281.</w:t>
      </w:r>
    </w:p>
  </w:footnote>
  <w:footnote w:id="18">
    <w:p>
      <w:pPr>
        <w:pStyle w:val="FootnoteText"/>
        <w:tabs>
          <w:tab w:val="left" w:pos="284"/>
        </w:tabs>
        <w:ind w:left="284" w:hanging="284"/>
      </w:pPr>
      <w:r>
        <w:rPr>
          <w:rStyle w:val="FootnoteReference"/>
        </w:rPr>
        <w:footnoteRef/>
      </w:r>
      <w:r>
        <w:t xml:space="preserve"> </w:t>
      </w:r>
      <w:r>
        <w:tab/>
        <w:t>Tento počet zahrnuje stanoviska i odůvodněná stanoviska obdržená od vnitrostátních parlamentů.</w:t>
      </w:r>
    </w:p>
  </w:footnote>
  <w:footnote w:id="19">
    <w:p>
      <w:pPr>
        <w:pStyle w:val="FootnoteText"/>
        <w:ind w:left="284" w:hanging="284"/>
      </w:pPr>
      <w:r>
        <w:rPr>
          <w:rStyle w:val="FootnoteReference"/>
        </w:rPr>
        <w:footnoteRef/>
      </w:r>
      <w:r>
        <w:t xml:space="preserve"> </w:t>
      </w:r>
      <w:r>
        <w:tab/>
        <w:t>ESVČ není útvar Komise, ale nezávislá instituce.</w:t>
      </w:r>
    </w:p>
  </w:footnote>
  <w:footnote w:id="20">
    <w:p>
      <w:pPr>
        <w:pStyle w:val="FootnoteText"/>
        <w:ind w:left="284" w:hanging="284"/>
      </w:pPr>
      <w:r>
        <w:rPr>
          <w:rStyle w:val="FootnoteReference"/>
        </w:rPr>
        <w:footnoteRef/>
      </w:r>
      <w:r>
        <w:t xml:space="preserve"> </w:t>
      </w:r>
      <w:r>
        <w:tab/>
        <w:t>Pracovní skupina podle článku 50 není útvar Komise, ale nezávislá instituce.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  "/>
    <w:docVar w:name="LW_ANNEX_NBR_FIRST" w:val="1"/>
    <w:docVar w:name="LW_ANNEX_NBR_LAST" w:val="3"/>
    <w:docVar w:name="LW_ANNEX_UNIQUE" w:val="0"/>
    <w:docVar w:name="LW_CORRIGENDUM" w:val="&lt;UNUSED&gt;"/>
    <w:docVar w:name="LW_COVERPAGE_EXISTS" w:val="True"/>
    <w:docVar w:name="LW_COVERPAGE_GUID" w:val="1957737C-CF8F-4A1E-9AFE-30D5C7A2C564"/>
    <w:docVar w:name="LW_COVERPAGE_TYPE" w:val="1"/>
    <w:docVar w:name="LW_CROSSREFERENCE" w:val="&lt;UNUSED&gt;"/>
    <w:docVar w:name="LW_DocType" w:val="REP"/>
    <w:docVar w:name="LW_EMISSION" w:val="23.10.2018"/>
    <w:docVar w:name="LW_EMISSION_ISODATE" w:val="2018-10-23"/>
    <w:docVar w:name="LW_EMISSION_LOCATION" w:val="BRX"/>
    <w:docVar w:name="LW_EMISSION_PREFIX" w:val="V Bruselu dne "/>
    <w:docVar w:name="LW_EMISSION_SUFFIX" w:val=" "/>
    <w:docVar w:name="LW_ID_DOCTYPE_NONLW" w:val="CP-039"/>
    <w:docVar w:name="LW_LANGUE" w:val="CS"/>
    <w:docVar w:name="LW_LEVEL_OF_SENSITIVITY" w:val="Standard treatment"/>
    <w:docVar w:name="LW_NOM.INST" w:val="EVROPSKÁ KOMISE"/>
    <w:docVar w:name="LW_NOM.INST_JOINTDOC" w:val="&lt;EMPTY&gt;"/>
    <w:docVar w:name="LW_OBJETACTEPRINCIPAL.CP" w:val="O VZTAZÍCH EVROPSKÉ KOMISE S VNITROSTÁTNÍMI PARLAMENTY"/>
    <w:docVar w:name="LW_PART_NBR" w:val="&lt;UNUSED&gt;"/>
    <w:docVar w:name="LW_PART_NBR_TOTAL" w:val="&lt;UNUSED&gt;"/>
    <w:docVar w:name="LW_REF.INST.NEW" w:val="COM"/>
    <w:docVar w:name="LW_REF.INST.NEW_ADOPTED" w:val="final"/>
    <w:docVar w:name="LW_REF.INST.NEW_TEXT" w:val="(2018)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u344?ÍLOHY_x000b_"/>
    <w:docVar w:name="LW_TYPEACTEPRINCIPAL.CP" w:val="ZPRÁVY KOMIS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cs-CZ"/>
    </w:rPr>
  </w:style>
  <w:style w:type="character" w:customStyle="1" w:styleId="HeaderChar">
    <w:name w:val="Header Char"/>
    <w:basedOn w:val="DefaultParagraphFont"/>
    <w:link w:val="Header"/>
    <w:uiPriority w:val="99"/>
    <w:rPr>
      <w:sz w:val="24"/>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cs-CZ"/>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cs-CZ"/>
    </w:rPr>
  </w:style>
  <w:style w:type="character" w:customStyle="1" w:styleId="HeaderChar">
    <w:name w:val="Header Char"/>
    <w:basedOn w:val="DefaultParagraphFont"/>
    <w:link w:val="Header"/>
    <w:uiPriority w:val="99"/>
    <w:rPr>
      <w:sz w:val="24"/>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cs-CZ"/>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Created>
    <Version>4.6</Version>
    <Date>2018-08-29T12:28:07</Date>
    <Language>EN</Language>
  </Created>
  <Edited>
    <Version>10.0.37441.0</Version>
    <Date>2018-08-29T12:31:20</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E0D61C8E-61D8-48E1-A8A1-D7C9F052D3FF}">
  <ds:schemaRefs/>
</ds:datastoreItem>
</file>

<file path=customXml/itemProps2.xml><?xml version="1.0" encoding="utf-8"?>
<ds:datastoreItem xmlns:ds="http://schemas.openxmlformats.org/officeDocument/2006/customXml" ds:itemID="{749A81CD-47B2-43EE-A84B-07911B2F577B}">
  <ds:schemaRefs/>
</ds:datastoreItem>
</file>

<file path=customXml/itemProps3.xml><?xml version="1.0" encoding="utf-8"?>
<ds:datastoreItem xmlns:ds="http://schemas.openxmlformats.org/officeDocument/2006/customXml" ds:itemID="{E185D78C-AD8C-44D8-9F36-C303026A084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969</Words>
  <Characters>5236</Characters>
  <Application>Microsoft Office Word</Application>
  <DocSecurity>0</DocSecurity>
  <PresentationFormat>Microsoft Word 14.0</PresentationFormat>
  <Lines>402</Lines>
  <Paragraphs>364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9</cp:revision>
  <dcterms:created xsi:type="dcterms:W3CDTF">2018-09-18T11:59:00Z</dcterms:created>
  <dcterms:modified xsi:type="dcterms:W3CDTF">2018-10-18T07:30:00Z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3</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