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95" w:rsidRDefault="002115B1" w:rsidP="002115B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83A9D09-6267-42DA-A388-E50AAE3A4312" style="width:452pt;height:434pt">
            <v:imagedata r:id="rId10" o:title=""/>
          </v:shape>
        </w:pict>
      </w:r>
    </w:p>
    <w:bookmarkEnd w:id="0"/>
    <w:p w:rsidR="00B97195" w:rsidRDefault="00B97195">
      <w:pPr>
        <w:rPr>
          <w:noProof/>
        </w:rPr>
        <w:sectPr w:rsidR="00B97195" w:rsidSect="002115B1">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B97195" w:rsidRDefault="002115B1">
      <w:pPr>
        <w:jc w:val="center"/>
        <w:rPr>
          <w:b/>
          <w:smallCaps/>
          <w:noProof/>
        </w:rPr>
      </w:pPr>
      <w:r>
        <w:rPr>
          <w:b/>
          <w:smallCaps/>
          <w:noProof/>
        </w:rPr>
        <w:lastRenderedPageBreak/>
        <w:t>Príloha I</w:t>
      </w:r>
    </w:p>
    <w:p w:rsidR="00B97195" w:rsidRDefault="002115B1">
      <w:pPr>
        <w:jc w:val="center"/>
        <w:rPr>
          <w:b/>
          <w:noProof/>
        </w:rPr>
      </w:pPr>
      <w:r>
        <w:rPr>
          <w:b/>
          <w:noProof/>
        </w:rPr>
        <w:t>Deväť odporúčaní osobitnej skupiny</w:t>
      </w:r>
    </w:p>
    <w:tbl>
      <w:tblPr>
        <w:tblStyle w:val="TableGrid"/>
        <w:tblW w:w="0" w:type="auto"/>
        <w:tblLook w:val="04A0" w:firstRow="1" w:lastRow="0" w:firstColumn="1" w:lastColumn="0" w:noHBand="0" w:noVBand="1"/>
      </w:tblPr>
      <w:tblGrid>
        <w:gridCol w:w="8608"/>
      </w:tblGrid>
      <w:tr w:rsidR="00B97195">
        <w:tc>
          <w:tcPr>
            <w:tcW w:w="8608" w:type="dxa"/>
            <w:shd w:val="clear" w:color="auto" w:fill="C6D9F1" w:themeFill="text2" w:themeFillTint="33"/>
          </w:tcPr>
          <w:p w:rsidR="00B97195" w:rsidRDefault="002115B1">
            <w:pPr>
              <w:spacing w:after="0"/>
              <w:jc w:val="center"/>
              <w:rPr>
                <w:b/>
                <w:i/>
                <w:noProof/>
                <w:sz w:val="20"/>
              </w:rPr>
            </w:pPr>
            <w:r>
              <w:rPr>
                <w:b/>
                <w:i/>
                <w:noProof/>
                <w:sz w:val="20"/>
              </w:rPr>
              <w:t>Odporúčanie osobitnej skupiny č. 1</w:t>
            </w:r>
          </w:p>
        </w:tc>
      </w:tr>
      <w:tr w:rsidR="00B97195">
        <w:tc>
          <w:tcPr>
            <w:tcW w:w="8608" w:type="dxa"/>
          </w:tcPr>
          <w:p w:rsidR="00B97195" w:rsidRDefault="002115B1">
            <w:pPr>
              <w:spacing w:after="120"/>
              <w:rPr>
                <w:b/>
                <w:noProof/>
                <w:sz w:val="20"/>
              </w:rPr>
            </w:pPr>
            <w:r>
              <w:rPr>
                <w:b/>
                <w:noProof/>
                <w:sz w:val="20"/>
              </w:rPr>
              <w:t>Inštitúcie a orgány Únie a národné a regionálne parlamenty by mali na posudzovanie otázok spojených so zásadami subsidiarity (vrátane pridanej hodnoty EÚ) a proporcionality a s právnym základom nových a existujúcich právnych predpisov používať spoločnú met</w:t>
            </w:r>
            <w:r>
              <w:rPr>
                <w:b/>
                <w:noProof/>
                <w:sz w:val="20"/>
              </w:rPr>
              <w:t xml:space="preserve">ódu („hodnotiacu tabuľku“). </w:t>
            </w:r>
          </w:p>
          <w:p w:rsidR="00B97195" w:rsidRDefault="002115B1">
            <w:pPr>
              <w:spacing w:after="120"/>
              <w:rPr>
                <w:b/>
                <w:noProof/>
                <w:sz w:val="20"/>
              </w:rPr>
            </w:pPr>
            <w:r>
              <w:rPr>
                <w:b/>
                <w:noProof/>
                <w:sz w:val="20"/>
              </w:rPr>
              <w:t>V tejto metóde posudzovania by sa mali zohľadniť kritériá uvedené v protokole o uplatňovaní zásad subsidiarity a proporcionality, ktorý bol pôvodne pripojený k Amsterdamskej zmluve, a príslušná judikatúra Súdneho dvora Európske</w:t>
            </w:r>
            <w:r>
              <w:rPr>
                <w:b/>
                <w:noProof/>
                <w:sz w:val="20"/>
              </w:rPr>
              <w:t xml:space="preserve">j únie. Návrh modelovej hodnotiacej tabuľky je priložený k tejto správe. </w:t>
            </w:r>
          </w:p>
          <w:p w:rsidR="00B97195" w:rsidRDefault="002115B1">
            <w:pPr>
              <w:spacing w:after="120"/>
              <w:rPr>
                <w:noProof/>
              </w:rPr>
            </w:pPr>
            <w:r>
              <w:rPr>
                <w:b/>
                <w:noProof/>
                <w:sz w:val="20"/>
              </w:rPr>
              <w:t>Európsky parlament a Rada by mali počas legislatívneho procesu pomocou spoločnej metódy systematicky skúmať subsidiaritu a proporcionalitu vo vzťahu k legislatívnym návrhom a zmenám,</w:t>
            </w:r>
            <w:r>
              <w:rPr>
                <w:b/>
                <w:noProof/>
                <w:sz w:val="20"/>
              </w:rPr>
              <w:t xml:space="preserve"> ktoré vykonajú. Mali by v plnej miere zohľadniť posúdenie Komisie predložené v jej návrhoch, ako aj (odôvodnené) stanoviská národných parlamentov a Európskeho výboru regiónov.</w:t>
            </w:r>
            <w:r>
              <w:rPr>
                <w:b/>
                <w:noProof/>
                <w:sz w:val="22"/>
              </w:rPr>
              <w:t xml:space="preserve"> </w:t>
            </w:r>
          </w:p>
        </w:tc>
      </w:tr>
      <w:tr w:rsidR="00B97195">
        <w:tblPrEx>
          <w:shd w:val="clear" w:color="auto" w:fill="DBE5F1" w:themeFill="accent1" w:themeFillTint="33"/>
        </w:tblPrEx>
        <w:tc>
          <w:tcPr>
            <w:tcW w:w="8608" w:type="dxa"/>
            <w:shd w:val="clear" w:color="auto" w:fill="DBE5F1" w:themeFill="accent1" w:themeFillTint="33"/>
          </w:tcPr>
          <w:p w:rsidR="00B97195" w:rsidRDefault="002115B1">
            <w:pPr>
              <w:spacing w:after="0"/>
              <w:jc w:val="center"/>
              <w:rPr>
                <w:b/>
                <w:i/>
                <w:noProof/>
                <w:sz w:val="20"/>
              </w:rPr>
            </w:pPr>
            <w:r>
              <w:rPr>
                <w:b/>
                <w:i/>
                <w:noProof/>
                <w:sz w:val="20"/>
              </w:rPr>
              <w:t>Odporúčanie osobitnej skupiny č. 2</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Komisia by mala flexibilne uplatňovať leh</w:t>
            </w:r>
            <w:r>
              <w:rPr>
                <w:b/>
                <w:noProof/>
                <w:sz w:val="20"/>
              </w:rPr>
              <w:t>otu ôsmich týždňov vyplývajúcu zo zmluvy, ktorú majú národné parlamenty na predloženie svojich odôvodnených stanovísk.</w:t>
            </w:r>
          </w:p>
          <w:p w:rsidR="00B97195" w:rsidRDefault="002115B1">
            <w:pPr>
              <w:spacing w:after="120"/>
              <w:rPr>
                <w:b/>
                <w:noProof/>
                <w:sz w:val="20"/>
              </w:rPr>
            </w:pPr>
            <w:r>
              <w:rPr>
                <w:b/>
                <w:noProof/>
                <w:sz w:val="20"/>
              </w:rPr>
              <w:t xml:space="preserve">V tejto flexibilite by sa mali zohľadniť bežné dovolenkové obdobia a obdobia prerušenia činnosti, pričom Komisia by podľa možnosti mohla </w:t>
            </w:r>
            <w:r>
              <w:rPr>
                <w:b/>
                <w:noProof/>
                <w:sz w:val="20"/>
              </w:rPr>
              <w:t xml:space="preserve">odpovedať do ôsmich týždňov od doručenia každého stanoviska. </w:t>
            </w:r>
          </w:p>
          <w:p w:rsidR="00B97195" w:rsidRDefault="002115B1">
            <w:pPr>
              <w:spacing w:after="120"/>
              <w:rPr>
                <w:b/>
                <w:noProof/>
                <w:sz w:val="20"/>
              </w:rPr>
            </w:pPr>
            <w:r>
              <w:rPr>
                <w:b/>
                <w:noProof/>
                <w:sz w:val="20"/>
              </w:rPr>
              <w:t>Komisia by mala odôvodnené stanoviská, ktoré jej doručili národné parlamenty, a spätnú väzbu, ktorú jej doručili regionálne parlamenty s legislatívnymi právomocami, primerane uviesť vo svojej vý</w:t>
            </w:r>
            <w:r>
              <w:rPr>
                <w:b/>
                <w:noProof/>
                <w:sz w:val="20"/>
              </w:rPr>
              <w:t xml:space="preserve">ročnej správe o subsidiarite a proporcionalite. Takisto by mala spoluzákonodarcom komplexne a včas sprístupniť informácie o návrhoch v prípadoch, keď boli vyjadrené významné obavy týkajúce sa subsidiarity. </w:t>
            </w:r>
          </w:p>
        </w:tc>
      </w:tr>
      <w:tr w:rsidR="00B97195">
        <w:tblPrEx>
          <w:shd w:val="clear" w:color="auto" w:fill="DBE5F1" w:themeFill="accent1" w:themeFillTint="33"/>
        </w:tblPrEx>
        <w:tc>
          <w:tcPr>
            <w:tcW w:w="8608" w:type="dxa"/>
            <w:shd w:val="clear" w:color="auto" w:fill="C6D9F1" w:themeFill="text2" w:themeFillTint="33"/>
          </w:tcPr>
          <w:p w:rsidR="00B97195" w:rsidRDefault="002115B1">
            <w:pPr>
              <w:spacing w:after="0"/>
              <w:jc w:val="center"/>
              <w:rPr>
                <w:b/>
                <w:i/>
                <w:noProof/>
                <w:sz w:val="20"/>
              </w:rPr>
            </w:pPr>
            <w:r>
              <w:rPr>
                <w:b/>
                <w:i/>
                <w:noProof/>
                <w:sz w:val="20"/>
              </w:rPr>
              <w:t>Odporúčanie osobitnej skupiny č. 3</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 xml:space="preserve">Keď nastane </w:t>
            </w:r>
            <w:r>
              <w:rPr>
                <w:b/>
                <w:noProof/>
                <w:sz w:val="20"/>
              </w:rPr>
              <w:t>príležitosť, mal by sa revidovať protokol č. 2 ZEÚ/ZFEÚ, aby sa národným parlamentom umožnila lehota 12 týždňov na prípravu a predloženie ich odôvodnených stanovísk a na plné vyjadrenie ich názorov týkajúcich sa subsidiarity, proporcionality a právneho zák</w:t>
            </w:r>
            <w:r>
              <w:rPr>
                <w:b/>
                <w:noProof/>
                <w:sz w:val="20"/>
              </w:rPr>
              <w:t>ladu (prenesenie právomocí) navrhovaných právnych predpisov. Národné parlamenty by mali konzultovať s regionálnymi parlamentmi s legislatívnymi právomocami v prípadoch, keď sa návrh právneho predpisu EÚ dotýka ich právomocí podľa vnútroštátneho práva.</w:t>
            </w:r>
          </w:p>
        </w:tc>
      </w:tr>
      <w:tr w:rsidR="00B97195">
        <w:tblPrEx>
          <w:shd w:val="clear" w:color="auto" w:fill="DBE5F1" w:themeFill="accent1" w:themeFillTint="33"/>
        </w:tblPrEx>
        <w:tc>
          <w:tcPr>
            <w:tcW w:w="8608" w:type="dxa"/>
            <w:shd w:val="clear" w:color="auto" w:fill="DBE5F1" w:themeFill="accent1" w:themeFillTint="33"/>
          </w:tcPr>
          <w:p w:rsidR="00B97195" w:rsidRDefault="002115B1">
            <w:pPr>
              <w:spacing w:after="0"/>
              <w:jc w:val="center"/>
              <w:rPr>
                <w:b/>
                <w:i/>
                <w:noProof/>
                <w:sz w:val="20"/>
              </w:rPr>
            </w:pPr>
            <w:r>
              <w:rPr>
                <w:b/>
                <w:i/>
                <w:noProof/>
                <w:sz w:val="20"/>
              </w:rPr>
              <w:t>Odp</w:t>
            </w:r>
            <w:r>
              <w:rPr>
                <w:b/>
                <w:i/>
                <w:noProof/>
                <w:sz w:val="20"/>
              </w:rPr>
              <w:t>orúčanie osobitnej skupiny č. 4</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Komisia by mala spoločne s národnými parlamentmi a Európskym výborom regiónov zvyšovať informovanosť vnútroštátnych, miestnych a regionálnych orgánov o možnostiach, ktoré majú na to, aby prispievali k tvorbe politík v ranom</w:t>
            </w:r>
            <w:r>
              <w:rPr>
                <w:b/>
                <w:noProof/>
                <w:sz w:val="20"/>
              </w:rPr>
              <w:t xml:space="preserve"> štádiu.</w:t>
            </w:r>
          </w:p>
          <w:p w:rsidR="00B97195" w:rsidRDefault="002115B1">
            <w:pPr>
              <w:spacing w:after="120"/>
              <w:rPr>
                <w:b/>
                <w:noProof/>
                <w:sz w:val="20"/>
              </w:rPr>
            </w:pPr>
            <w:r>
              <w:rPr>
                <w:b/>
                <w:noProof/>
                <w:sz w:val="20"/>
              </w:rPr>
              <w:t>Komisia by mala miestne a regionálne orgány plne zapojiť do svojich konzultačných procesov s prihliadnutím na ich osobitnú úlohu vo vykonávaní právnych predpisov Únie. Mala by presadzovať účasť miestnych a regionálnych orgánov prostredníctvom prim</w:t>
            </w:r>
            <w:r>
              <w:rPr>
                <w:b/>
                <w:noProof/>
                <w:sz w:val="20"/>
              </w:rPr>
              <w:t xml:space="preserve">eranej formy dotazníkov a poskytovaním väčšej spätnej väzby a zabezpečovaním väčšej viditeľnosti názorov miestnych a regionálnych orgánov vo svojich posúdeniach vplyvu, návrhoch a spätnej väzbe, ktoré postupuje spoluzákonodarcom. </w:t>
            </w:r>
          </w:p>
          <w:p w:rsidR="00B97195" w:rsidRDefault="002115B1">
            <w:pPr>
              <w:spacing w:after="120"/>
              <w:rPr>
                <w:b/>
                <w:noProof/>
                <w:sz w:val="20"/>
              </w:rPr>
            </w:pPr>
            <w:r>
              <w:rPr>
                <w:b/>
                <w:noProof/>
                <w:sz w:val="20"/>
              </w:rPr>
              <w:t>Členské štáty by mali dod</w:t>
            </w:r>
            <w:r>
              <w:rPr>
                <w:b/>
                <w:noProof/>
                <w:sz w:val="20"/>
              </w:rPr>
              <w:t>ržiavať usmernenia Európskej komisie a zmysluplne zapájať miestne a regionálne orgány do prípravy svojich národných programov reforiem a do tvorby a vykonávania štrukturálnych reforiem ako súčasti európskeho semestra, aby sa zlepšilo osvojenie a vykonávani</w:t>
            </w:r>
            <w:r>
              <w:rPr>
                <w:b/>
                <w:noProof/>
                <w:sz w:val="20"/>
              </w:rPr>
              <w:t>e týchto reforiem.</w:t>
            </w:r>
          </w:p>
        </w:tc>
      </w:tr>
      <w:tr w:rsidR="00B97195">
        <w:tblPrEx>
          <w:shd w:val="clear" w:color="auto" w:fill="DBE5F1" w:themeFill="accent1" w:themeFillTint="33"/>
        </w:tblPrEx>
        <w:tc>
          <w:tcPr>
            <w:tcW w:w="8608" w:type="dxa"/>
            <w:shd w:val="clear" w:color="auto" w:fill="DBE5F1" w:themeFill="accent1" w:themeFillTint="33"/>
          </w:tcPr>
          <w:p w:rsidR="00B97195" w:rsidRDefault="002115B1">
            <w:pPr>
              <w:spacing w:after="0"/>
              <w:jc w:val="center"/>
              <w:rPr>
                <w:b/>
                <w:i/>
                <w:noProof/>
                <w:sz w:val="20"/>
              </w:rPr>
            </w:pPr>
            <w:r>
              <w:rPr>
                <w:b/>
                <w:i/>
                <w:noProof/>
                <w:sz w:val="20"/>
              </w:rPr>
              <w:t>Odporúčanie osobitnej skupiny č. 5</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 xml:space="preserve">Komisia by mala zabezpečiť, aby sa v jej posúdeniach vplyvu a hodnoteniach systematicky prihliadalo na územné vplyvy a aby sa posudzovali v prípadoch, keď sú významné z hľadiska miestnych </w:t>
            </w:r>
            <w:r>
              <w:rPr>
                <w:b/>
                <w:noProof/>
                <w:sz w:val="20"/>
              </w:rPr>
              <w:t>a regionálnych orgánov. Miestne a regionálne orgány by mali pomôcť identifikovať takéto potenciálne vplyvy vo svojich odpovediach na konzultácie a v spätnej väzbe k plánom realizácie.</w:t>
            </w:r>
          </w:p>
          <w:p w:rsidR="00B97195" w:rsidRDefault="002115B1">
            <w:pPr>
              <w:spacing w:after="120"/>
              <w:rPr>
                <w:b/>
                <w:noProof/>
                <w:sz w:val="20"/>
              </w:rPr>
            </w:pPr>
            <w:r>
              <w:rPr>
                <w:b/>
                <w:noProof/>
                <w:sz w:val="20"/>
              </w:rPr>
              <w:t xml:space="preserve">Komisia by mala primerane zrevidovať svoje usmernenia a súbor nástrojov </w:t>
            </w:r>
            <w:r>
              <w:rPr>
                <w:b/>
                <w:noProof/>
                <w:sz w:val="20"/>
              </w:rPr>
              <w:t xml:space="preserve">pre lepšiu právnu </w:t>
            </w:r>
            <w:r>
              <w:rPr>
                <w:b/>
                <w:noProof/>
                <w:sz w:val="20"/>
              </w:rPr>
              <w:lastRenderedPageBreak/>
              <w:t>reguláciu a riešiť otázky spojené s vykonávaním právnych predpisov a ich pridanou hodnotou EÚ. Zároveň by vo svojich návrhoch a sprievodných dôvodových správach mala zabezpečiť väčšiu viditeľnosť posudzovania, ktoré vykonáva vo vzťahu k s</w:t>
            </w:r>
            <w:r>
              <w:rPr>
                <w:b/>
                <w:noProof/>
                <w:sz w:val="20"/>
              </w:rPr>
              <w:t>ubsidiarite, proporcionalite a príslušným územným vplyvom.</w:t>
            </w:r>
          </w:p>
        </w:tc>
      </w:tr>
      <w:tr w:rsidR="00B97195">
        <w:tblPrEx>
          <w:shd w:val="clear" w:color="auto" w:fill="DBE5F1" w:themeFill="accent1" w:themeFillTint="33"/>
        </w:tblPrEx>
        <w:trPr>
          <w:cantSplit/>
        </w:trPr>
        <w:tc>
          <w:tcPr>
            <w:tcW w:w="8608" w:type="dxa"/>
            <w:shd w:val="clear" w:color="auto" w:fill="DBE5F1" w:themeFill="accent1" w:themeFillTint="33"/>
          </w:tcPr>
          <w:p w:rsidR="00B97195" w:rsidRDefault="002115B1">
            <w:pPr>
              <w:spacing w:after="0"/>
              <w:jc w:val="center"/>
              <w:rPr>
                <w:b/>
                <w:i/>
                <w:noProof/>
                <w:sz w:val="20"/>
              </w:rPr>
            </w:pPr>
            <w:bookmarkStart w:id="1" w:name="_GoBack"/>
            <w:bookmarkEnd w:id="1"/>
            <w:r>
              <w:rPr>
                <w:b/>
                <w:i/>
                <w:noProof/>
                <w:sz w:val="20"/>
              </w:rPr>
              <w:lastRenderedPageBreak/>
              <w:t>Odporúčanie osobitnej skupiny č. 6</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Európsky parlament a Rada by mali počas svojich rokovaní súdržne používať tabuľku pre subsidiaritu s cieľom presadzovať kultúru lepšej informovanosti o otázka</w:t>
            </w:r>
            <w:r>
              <w:rPr>
                <w:b/>
                <w:noProof/>
                <w:sz w:val="20"/>
              </w:rPr>
              <w:t xml:space="preserve">ch dôležitých pre miestne a regionálne orgány. </w:t>
            </w:r>
          </w:p>
          <w:p w:rsidR="00B97195" w:rsidRDefault="002115B1">
            <w:pPr>
              <w:spacing w:after="120"/>
              <w:rPr>
                <w:b/>
                <w:noProof/>
                <w:sz w:val="20"/>
              </w:rPr>
            </w:pPr>
            <w:r>
              <w:rPr>
                <w:b/>
                <w:noProof/>
                <w:sz w:val="20"/>
              </w:rPr>
              <w:t xml:space="preserve">Komisia by mala spoluzákonodarcov upozorniť na akékoľvek názory, ktoré získa od miestnych a regionálnych orgánov v kontrolnom období po prijatí jej návrhov. </w:t>
            </w:r>
          </w:p>
          <w:p w:rsidR="00B97195" w:rsidRDefault="002115B1">
            <w:pPr>
              <w:spacing w:after="120"/>
              <w:rPr>
                <w:b/>
                <w:noProof/>
                <w:sz w:val="20"/>
              </w:rPr>
            </w:pPr>
            <w:r>
              <w:rPr>
                <w:b/>
                <w:noProof/>
                <w:sz w:val="20"/>
              </w:rPr>
              <w:t>Vlády členských štátov a národné parlamenty by mal</w:t>
            </w:r>
            <w:r>
              <w:rPr>
                <w:b/>
                <w:noProof/>
                <w:sz w:val="20"/>
              </w:rPr>
              <w:t>i na začiatku legislatívneho postupu požiadať o názory a odborné znalosti miestnych a regionálnych orgánov. Osobitná skupina vyzýva spoluzákonodarcov EÚ, aby zvážili pozývanie predstaviteľov miestnych a regionálnych orgánov na svoje zasadnutia alebo organi</w:t>
            </w:r>
            <w:r>
              <w:rPr>
                <w:b/>
                <w:noProof/>
                <w:sz w:val="20"/>
              </w:rPr>
              <w:t>zovanie vypočutí a podujatí tam, kde je to vhodné.</w:t>
            </w:r>
          </w:p>
        </w:tc>
      </w:tr>
      <w:tr w:rsidR="00B97195">
        <w:tblPrEx>
          <w:shd w:val="clear" w:color="auto" w:fill="DBE5F1" w:themeFill="accent1" w:themeFillTint="33"/>
        </w:tblPrEx>
        <w:tc>
          <w:tcPr>
            <w:tcW w:w="8608" w:type="dxa"/>
            <w:shd w:val="clear" w:color="auto" w:fill="C6D9F1" w:themeFill="text2" w:themeFillTint="33"/>
          </w:tcPr>
          <w:p w:rsidR="00B97195" w:rsidRDefault="002115B1">
            <w:pPr>
              <w:spacing w:after="0"/>
              <w:jc w:val="center"/>
              <w:rPr>
                <w:b/>
                <w:i/>
                <w:noProof/>
                <w:sz w:val="20"/>
              </w:rPr>
            </w:pPr>
            <w:r>
              <w:rPr>
                <w:b/>
                <w:i/>
                <w:noProof/>
                <w:sz w:val="20"/>
              </w:rPr>
              <w:t>Odporúčanie osobitnej skupiny č. 7</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 xml:space="preserve">Regionálne a národné parlamenty by mali preskúmať, ako účinnejšie prepojiť svoje príslušné platformy na výmenu informácií (REGPEX a IPEX) s cieľom zabezpečiť, aby sa </w:t>
            </w:r>
            <w:r>
              <w:rPr>
                <w:b/>
                <w:noProof/>
                <w:sz w:val="20"/>
              </w:rPr>
              <w:t>v legislatívnom postupe a postupe kontroly dodržiavania zásady subsidiarity lepšie zohľadnili ich záujmy.</w:t>
            </w:r>
          </w:p>
        </w:tc>
      </w:tr>
      <w:tr w:rsidR="00B97195">
        <w:tblPrEx>
          <w:shd w:val="clear" w:color="auto" w:fill="DBE5F1" w:themeFill="accent1" w:themeFillTint="33"/>
        </w:tblPrEx>
        <w:tc>
          <w:tcPr>
            <w:tcW w:w="8608" w:type="dxa"/>
            <w:shd w:val="clear" w:color="auto" w:fill="DBE5F1" w:themeFill="accent1" w:themeFillTint="33"/>
          </w:tcPr>
          <w:p w:rsidR="00B97195" w:rsidRDefault="002115B1">
            <w:pPr>
              <w:spacing w:after="0"/>
              <w:jc w:val="center"/>
              <w:rPr>
                <w:b/>
                <w:i/>
                <w:noProof/>
                <w:sz w:val="20"/>
              </w:rPr>
            </w:pPr>
            <w:bookmarkStart w:id="2" w:name="_Hlk526678846"/>
            <w:r>
              <w:rPr>
                <w:b/>
                <w:i/>
                <w:noProof/>
                <w:sz w:val="20"/>
              </w:rPr>
              <w:t>Odporúčanie osobitnej skupiny č. 8</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Komisia by mala vypracovať mechanizmus na určenie a hodnotenie právnych predpisov z pohľadu subsidiarity, proporc</w:t>
            </w:r>
            <w:r>
              <w:rPr>
                <w:b/>
                <w:noProof/>
                <w:sz w:val="20"/>
              </w:rPr>
              <w:t xml:space="preserve">ionality, zjednodušenia, legislatívnej hustoty a úlohy miestnych a regionálnych orgánov. Tento mechanizmus by mohol nadväzovať na program a platformu REFIT. </w:t>
            </w:r>
          </w:p>
          <w:p w:rsidR="00B97195" w:rsidRDefault="002115B1">
            <w:pPr>
              <w:spacing w:after="120"/>
              <w:rPr>
                <w:b/>
                <w:noProof/>
                <w:sz w:val="20"/>
              </w:rPr>
            </w:pPr>
            <w:r>
              <w:rPr>
                <w:b/>
                <w:noProof/>
                <w:sz w:val="20"/>
              </w:rPr>
              <w:t>Pri monitorovaní a hodnotení právnych predpisov EÚ by sa vo všeobecnosti malo v plnej miere prihli</w:t>
            </w:r>
            <w:r>
              <w:rPr>
                <w:b/>
                <w:noProof/>
                <w:sz w:val="20"/>
              </w:rPr>
              <w:t xml:space="preserve">adať na skúsenosti miestnych a regionálnych orgánov a ich sietí. Výbor regiónov by mal zaviesť novú pilotnú sieť regionálnych centier na podporu preskúmania vykonávania politík. </w:t>
            </w:r>
          </w:p>
        </w:tc>
      </w:tr>
      <w:bookmarkEnd w:id="2"/>
      <w:tr w:rsidR="00B97195">
        <w:tblPrEx>
          <w:shd w:val="clear" w:color="auto" w:fill="DBE5F1" w:themeFill="accent1" w:themeFillTint="33"/>
        </w:tblPrEx>
        <w:tc>
          <w:tcPr>
            <w:tcW w:w="8608" w:type="dxa"/>
            <w:shd w:val="clear" w:color="auto" w:fill="DBE5F1" w:themeFill="accent1" w:themeFillTint="33"/>
          </w:tcPr>
          <w:p w:rsidR="00B97195" w:rsidRDefault="002115B1">
            <w:pPr>
              <w:spacing w:after="0"/>
              <w:jc w:val="center"/>
              <w:rPr>
                <w:b/>
                <w:i/>
                <w:noProof/>
                <w:sz w:val="20"/>
              </w:rPr>
            </w:pPr>
            <w:r>
              <w:rPr>
                <w:b/>
                <w:i/>
                <w:noProof/>
                <w:sz w:val="20"/>
              </w:rPr>
              <w:t>Odporúčanie osobitnej skupiny č. 9</w:t>
            </w:r>
          </w:p>
        </w:tc>
      </w:tr>
      <w:tr w:rsidR="00B97195">
        <w:tblPrEx>
          <w:shd w:val="clear" w:color="auto" w:fill="DBE5F1" w:themeFill="accent1" w:themeFillTint="33"/>
        </w:tblPrEx>
        <w:tc>
          <w:tcPr>
            <w:tcW w:w="8608" w:type="dxa"/>
            <w:shd w:val="clear" w:color="auto" w:fill="auto"/>
          </w:tcPr>
          <w:p w:rsidR="00B97195" w:rsidRDefault="002115B1">
            <w:pPr>
              <w:spacing w:after="120"/>
              <w:rPr>
                <w:b/>
                <w:noProof/>
                <w:sz w:val="20"/>
              </w:rPr>
            </w:pPr>
            <w:r>
              <w:rPr>
                <w:b/>
                <w:noProof/>
                <w:sz w:val="20"/>
              </w:rPr>
              <w:t xml:space="preserve">Budúca Komisia by mala s Európskym </w:t>
            </w:r>
            <w:r>
              <w:rPr>
                <w:b/>
                <w:noProof/>
                <w:sz w:val="20"/>
              </w:rPr>
              <w:t>parlamentom a Radou zvážiť nastolenie novej rovnováhy svojej činnosti v niektorých oblastiach politiky smerom k účinnejšiemu vykonávaniu namiesto zavádzania nových právnych predpisov v oblastiach, kde existuje vyspelý súbor právnych predpisov a/alebo kde b</w:t>
            </w:r>
            <w:r>
              <w:rPr>
                <w:b/>
                <w:noProof/>
                <w:sz w:val="20"/>
              </w:rPr>
              <w:t>ol súbor právnych predpisov nedávno výrazne revidovaný.</w:t>
            </w:r>
          </w:p>
        </w:tc>
      </w:tr>
    </w:tbl>
    <w:p w:rsidR="00B97195" w:rsidRDefault="00B97195">
      <w:pPr>
        <w:jc w:val="center"/>
        <w:rPr>
          <w:noProof/>
        </w:rPr>
      </w:pPr>
    </w:p>
    <w:p w:rsidR="00B97195" w:rsidRDefault="002115B1">
      <w:pPr>
        <w:spacing w:after="0"/>
        <w:jc w:val="left"/>
        <w:rPr>
          <w:noProof/>
        </w:rPr>
      </w:pPr>
      <w:r>
        <w:rPr>
          <w:noProof/>
        </w:rPr>
        <w:br w:type="page"/>
      </w:r>
    </w:p>
    <w:p w:rsidR="00B97195" w:rsidRDefault="002115B1">
      <w:pPr>
        <w:jc w:val="center"/>
        <w:rPr>
          <w:b/>
          <w:smallCaps/>
          <w:noProof/>
        </w:rPr>
      </w:pPr>
      <w:r>
        <w:rPr>
          <w:b/>
          <w:smallCaps/>
          <w:noProof/>
        </w:rPr>
        <w:t>Príloha II</w:t>
      </w:r>
    </w:p>
    <w:p w:rsidR="00B97195" w:rsidRDefault="002115B1">
      <w:pPr>
        <w:jc w:val="center"/>
        <w:rPr>
          <w:b/>
          <w:noProof/>
        </w:rPr>
      </w:pPr>
      <w:r>
        <w:rPr>
          <w:b/>
          <w:noProof/>
        </w:rPr>
        <w:t>Modelová tabuľka na posudzovanie subsidiarity a proporcionality v celom cykle politiky (zo správy osobitnej skupiny pre subsidiaritu, proporcionalitu a scenár „Menej, ale efektívnejšie“</w:t>
      </w:r>
      <w:r>
        <w:rPr>
          <w:b/>
          <w:noProof/>
        </w:rPr>
        <w:t>)</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29"/>
        <w:gridCol w:w="5305"/>
      </w:tblGrid>
      <w:tr w:rsidR="00B97195">
        <w:tc>
          <w:tcPr>
            <w:tcW w:w="3652" w:type="dxa"/>
            <w:tcBorders>
              <w:top w:val="double" w:sz="4" w:space="0" w:color="auto"/>
              <w:left w:val="double" w:sz="4" w:space="0" w:color="auto"/>
              <w:bottom w:val="single" w:sz="4" w:space="0" w:color="auto"/>
              <w:right w:val="single" w:sz="4" w:space="0" w:color="auto"/>
            </w:tcBorders>
            <w:hideMark/>
          </w:tcPr>
          <w:p w:rsidR="00B97195" w:rsidRDefault="002115B1">
            <w:pPr>
              <w:spacing w:after="0"/>
              <w:rPr>
                <w:b/>
                <w:noProof/>
                <w:sz w:val="22"/>
                <w:szCs w:val="22"/>
              </w:rPr>
            </w:pPr>
            <w:r>
              <w:rPr>
                <w:b/>
                <w:noProof/>
                <w:sz w:val="22"/>
              </w:rPr>
              <w:t>Inštitúcia*</w:t>
            </w:r>
          </w:p>
        </w:tc>
        <w:tc>
          <w:tcPr>
            <w:tcW w:w="5634" w:type="dxa"/>
            <w:tcBorders>
              <w:top w:val="doub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c>
          <w:tcPr>
            <w:tcW w:w="3652" w:type="dxa"/>
            <w:tcBorders>
              <w:top w:val="single" w:sz="4" w:space="0" w:color="auto"/>
              <w:left w:val="double" w:sz="4" w:space="0" w:color="auto"/>
              <w:bottom w:val="single" w:sz="4" w:space="0" w:color="auto"/>
              <w:right w:val="single" w:sz="4" w:space="0" w:color="auto"/>
            </w:tcBorders>
            <w:hideMark/>
          </w:tcPr>
          <w:p w:rsidR="00B97195" w:rsidRDefault="002115B1">
            <w:pPr>
              <w:spacing w:after="0"/>
              <w:rPr>
                <w:b/>
                <w:noProof/>
                <w:sz w:val="22"/>
                <w:szCs w:val="22"/>
              </w:rPr>
            </w:pPr>
            <w:r>
              <w:rPr>
                <w:b/>
                <w:noProof/>
                <w:sz w:val="22"/>
              </w:rPr>
              <w:t>Názov návrhu alebo iniciatívy</w:t>
            </w:r>
          </w:p>
        </w:tc>
        <w:tc>
          <w:tcPr>
            <w:tcW w:w="5634" w:type="dxa"/>
            <w:tcBorders>
              <w:top w:val="sing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c>
          <w:tcPr>
            <w:tcW w:w="3652" w:type="dxa"/>
            <w:tcBorders>
              <w:top w:val="single" w:sz="4" w:space="0" w:color="auto"/>
              <w:left w:val="double" w:sz="4" w:space="0" w:color="auto"/>
              <w:bottom w:val="double" w:sz="4" w:space="0" w:color="auto"/>
              <w:right w:val="single" w:sz="4" w:space="0" w:color="auto"/>
            </w:tcBorders>
            <w:hideMark/>
          </w:tcPr>
          <w:p w:rsidR="00B97195" w:rsidRDefault="002115B1">
            <w:pPr>
              <w:spacing w:after="0"/>
              <w:rPr>
                <w:b/>
                <w:noProof/>
                <w:sz w:val="22"/>
                <w:szCs w:val="22"/>
              </w:rPr>
            </w:pPr>
            <w:r>
              <w:rPr>
                <w:b/>
                <w:noProof/>
                <w:sz w:val="22"/>
              </w:rPr>
              <w:t>Inštitucionálne odkazy</w:t>
            </w:r>
          </w:p>
        </w:tc>
        <w:tc>
          <w:tcPr>
            <w:tcW w:w="5634" w:type="dxa"/>
            <w:tcBorders>
              <w:top w:val="single" w:sz="4" w:space="0" w:color="auto"/>
              <w:left w:val="single" w:sz="4" w:space="0" w:color="auto"/>
              <w:bottom w:val="double" w:sz="4" w:space="0" w:color="auto"/>
              <w:right w:val="double" w:sz="4" w:space="0" w:color="auto"/>
            </w:tcBorders>
          </w:tcPr>
          <w:p w:rsidR="00B97195" w:rsidRDefault="00B97195">
            <w:pPr>
              <w:spacing w:after="0"/>
              <w:rPr>
                <w:noProof/>
                <w:sz w:val="22"/>
                <w:szCs w:val="22"/>
              </w:rPr>
            </w:pPr>
          </w:p>
        </w:tc>
      </w:tr>
    </w:tbl>
    <w:p w:rsidR="00B97195" w:rsidRDefault="00B97195">
      <w:pPr>
        <w:rPr>
          <w:noProof/>
        </w:rPr>
      </w:pPr>
    </w:p>
    <w:tbl>
      <w:tblPr>
        <w:tblStyle w:val="TableGrid"/>
        <w:tblW w:w="0" w:type="auto"/>
        <w:tblLook w:val="04A0" w:firstRow="1" w:lastRow="0" w:firstColumn="1" w:lastColumn="0" w:noHBand="0" w:noVBand="1"/>
      </w:tblPr>
      <w:tblGrid>
        <w:gridCol w:w="8834"/>
      </w:tblGrid>
      <w:tr w:rsidR="00B97195">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97195" w:rsidRDefault="002115B1">
            <w:pPr>
              <w:spacing w:after="120"/>
              <w:jc w:val="center"/>
              <w:rPr>
                <w:b/>
                <w:i/>
                <w:noProof/>
                <w:sz w:val="22"/>
                <w:szCs w:val="22"/>
              </w:rPr>
            </w:pPr>
            <w:r>
              <w:rPr>
                <w:b/>
                <w:i/>
                <w:noProof/>
                <w:sz w:val="22"/>
              </w:rPr>
              <w:t>Účel a vysvetlenie tejto hodnotiacej tabuľky</w:t>
            </w:r>
          </w:p>
          <w:p w:rsidR="00B97195" w:rsidRDefault="002115B1">
            <w:pPr>
              <w:spacing w:after="120"/>
              <w:rPr>
                <w:i/>
                <w:noProof/>
                <w:sz w:val="22"/>
                <w:szCs w:val="22"/>
              </w:rPr>
            </w:pPr>
            <w:r>
              <w:rPr>
                <w:i/>
                <w:noProof/>
                <w:sz w:val="22"/>
              </w:rPr>
              <w:t xml:space="preserve">Cieľom tejto tabuľky je poskytnúť spoločný a súdržný prístup k posudzovaniu súladu daného návrhu alebo iniciatívy so zásadami </w:t>
            </w:r>
            <w:r>
              <w:rPr>
                <w:i/>
                <w:noProof/>
                <w:sz w:val="22"/>
              </w:rPr>
              <w:t xml:space="preserve">subsidiarity a proporcionality vyplývajúcimi zo zmlúv. Tabuľku by mala používať Európska komisia pri predkladaní svojich návrhov, národné parlamenty pri príprave svojich odôvodnených stanovísk podľa protokolu č. 2 Zmluvy o fungovaní Európskej únie (ZFEÚ), </w:t>
            </w:r>
            <w:r>
              <w:rPr>
                <w:i/>
                <w:noProof/>
                <w:sz w:val="22"/>
              </w:rPr>
              <w:t>ako aj Európsky parlament a Rada ako spoluzákonodarcovia EÚ. Tabuľka by sa mala používať aj v prípade iniciatív skupiny členských štátov, žiadostí Súdneho dvora, odporúčaní Európskej centrálnej banky a žiadostí Európskej investičnej banky o prijatie legisl</w:t>
            </w:r>
            <w:r>
              <w:rPr>
                <w:i/>
                <w:noProof/>
                <w:sz w:val="22"/>
              </w:rPr>
              <w:t>atívnych aktov (článok 3 protokolu č. 2).</w:t>
            </w:r>
          </w:p>
          <w:p w:rsidR="00B97195" w:rsidRDefault="002115B1">
            <w:pPr>
              <w:spacing w:after="120"/>
              <w:rPr>
                <w:i/>
                <w:noProof/>
                <w:sz w:val="22"/>
                <w:szCs w:val="22"/>
              </w:rPr>
            </w:pPr>
            <w:r>
              <w:rPr>
                <w:i/>
                <w:noProof/>
                <w:sz w:val="22"/>
              </w:rPr>
              <w:t>Zásada subsidiarity pomáha určiť, či je odôvodnené konanie Únie v rámci spoločných alebo podporných právomocí, ktoré jej boli zverené podľa zmlúv, alebo či je vhodnejšie, aby konali členské štáty na primeranej vnút</w:t>
            </w:r>
            <w:r>
              <w:rPr>
                <w:i/>
                <w:noProof/>
                <w:sz w:val="22"/>
              </w:rPr>
              <w:t xml:space="preserve">roštátnej, regionálnej alebo miestnej úrovni. Ak sa má splniť skúška subsidiarity, mali by byť splnené oba kumulatívne aspekty </w:t>
            </w:r>
            <w:r>
              <w:rPr>
                <w:i/>
                <w:noProof/>
                <w:sz w:val="22"/>
                <w:u w:val="single"/>
              </w:rPr>
              <w:t>nevyhnutnosti opatrenia EÚ</w:t>
            </w:r>
            <w:r>
              <w:rPr>
                <w:i/>
                <w:noProof/>
                <w:sz w:val="22"/>
              </w:rPr>
              <w:t xml:space="preserve"> a </w:t>
            </w:r>
            <w:r>
              <w:rPr>
                <w:i/>
                <w:noProof/>
                <w:sz w:val="22"/>
                <w:u w:val="single"/>
              </w:rPr>
              <w:t>pridanej hodnoty EÚ</w:t>
            </w:r>
            <w:r>
              <w:rPr>
                <w:i/>
                <w:noProof/>
                <w:sz w:val="22"/>
              </w:rPr>
              <w:t>. Tieto aspekty sa podrobnejšie vysvetľujú ďalej.</w:t>
            </w:r>
          </w:p>
          <w:p w:rsidR="00B97195" w:rsidRDefault="002115B1">
            <w:pPr>
              <w:spacing w:after="120"/>
              <w:rPr>
                <w:i/>
                <w:noProof/>
                <w:sz w:val="22"/>
                <w:szCs w:val="22"/>
              </w:rPr>
            </w:pPr>
            <w:r>
              <w:rPr>
                <w:i/>
                <w:noProof/>
                <w:sz w:val="22"/>
              </w:rPr>
              <w:t>Zásadou proporcionality sa pomá</w:t>
            </w:r>
            <w:r>
              <w:rPr>
                <w:i/>
                <w:noProof/>
                <w:sz w:val="22"/>
              </w:rPr>
              <w:t>ha zabezpečiť, aby intenzita legislatívnych povinností alebo prístupu politiky zodpovedala zamýšľaným cieľom politiky alebo právneho predpisu. To znamená, že obsah a forma opatrenia Únie nesmú prekročiť rámec toho, čo je nevyhnutné na dosiahnutie zamýšľaný</w:t>
            </w:r>
            <w:r>
              <w:rPr>
                <w:i/>
                <w:noProof/>
                <w:sz w:val="22"/>
              </w:rPr>
              <w:t>ch cieľov.</w:t>
            </w:r>
          </w:p>
          <w:p w:rsidR="00B97195" w:rsidRDefault="002115B1">
            <w:pPr>
              <w:spacing w:after="120"/>
              <w:rPr>
                <w:i/>
                <w:noProof/>
                <w:sz w:val="22"/>
                <w:szCs w:val="22"/>
              </w:rPr>
            </w:pPr>
            <w:r>
              <w:rPr>
                <w:i/>
                <w:noProof/>
                <w:sz w:val="22"/>
              </w:rPr>
              <w:t>Posúdenia vplyvu, ktoré Európska komisia pripravuje na podporu svojich návrhov, budú zahŕňať posúdenie subsidiarity a proporcionality. Ku každému návrhu Komisie bude okrem toho pripojená dôvodová správa, v ktorej sa takisto predkladá posúdenie s</w:t>
            </w:r>
            <w:r>
              <w:rPr>
                <w:i/>
                <w:noProof/>
                <w:sz w:val="22"/>
              </w:rPr>
              <w:t>ubsidiarity a proporcionality Komisiou, keďže ide o požiadavku protokolu č. 2 ZFEÚ, spolu s požiadavkami na rozsiahle konzultácie pred predložením návrhu legislatívneho aktu a na zohľadnenie miestneho a regionálneho rozmeru plánovaného opatrenia.</w:t>
            </w:r>
          </w:p>
          <w:p w:rsidR="00B97195" w:rsidRDefault="002115B1">
            <w:pPr>
              <w:spacing w:after="120"/>
              <w:rPr>
                <w:i/>
                <w:noProof/>
                <w:sz w:val="22"/>
                <w:szCs w:val="22"/>
              </w:rPr>
            </w:pPr>
            <w:r>
              <w:rPr>
                <w:i/>
                <w:noProof/>
                <w:sz w:val="22"/>
              </w:rPr>
              <w:t>Zatiaľ čo</w:t>
            </w:r>
            <w:r>
              <w:rPr>
                <w:i/>
                <w:noProof/>
                <w:sz w:val="22"/>
              </w:rPr>
              <w:t xml:space="preserve"> v tejto hodnotiacej tabuľke sa riešia len otázky subsidiarity a proporcionality, každá inštitúcia, ktorá ju používa, môže voľne dopĺňať prvky, ktoré sú užitočné pre jej vlastné vnútorné procesy a priority. Tabuľka by sa mohla upraviť napríklad tak, aby za</w:t>
            </w:r>
            <w:r>
              <w:rPr>
                <w:i/>
                <w:noProof/>
                <w:sz w:val="22"/>
              </w:rPr>
              <w:t>hŕňala posúdenie využívania nástrojov lepšej právnej regulácie Komisiou alebo posúdenie politických aspektov návrhov Komisie.</w:t>
            </w:r>
          </w:p>
          <w:p w:rsidR="00B97195" w:rsidRDefault="002115B1">
            <w:pPr>
              <w:spacing w:after="0"/>
              <w:rPr>
                <w:i/>
                <w:noProof/>
              </w:rPr>
            </w:pPr>
            <w:r>
              <w:rPr>
                <w:i/>
                <w:noProof/>
                <w:sz w:val="22"/>
              </w:rPr>
              <w:t>* Nie všetky otázky v tejto modelovej hodnotiacej tabuľke sú relevantné pre všetky inštitúcie.</w:t>
            </w:r>
          </w:p>
        </w:tc>
      </w:tr>
    </w:tbl>
    <w:p w:rsidR="00B97195" w:rsidRDefault="00B97195">
      <w:pPr>
        <w:rPr>
          <w:noProof/>
        </w:rPr>
      </w:pPr>
    </w:p>
    <w:p w:rsidR="00B97195" w:rsidRDefault="002115B1">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B97195">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B97195" w:rsidRDefault="002115B1">
            <w:pPr>
              <w:pStyle w:val="ListParagraph"/>
              <w:numPr>
                <w:ilvl w:val="0"/>
                <w:numId w:val="28"/>
              </w:numPr>
              <w:spacing w:after="0"/>
              <w:jc w:val="center"/>
              <w:rPr>
                <w:b/>
                <w:i/>
                <w:noProof/>
                <w:sz w:val="22"/>
                <w:szCs w:val="22"/>
              </w:rPr>
            </w:pPr>
            <w:r>
              <w:rPr>
                <w:b/>
                <w:i/>
                <w:noProof/>
                <w:sz w:val="22"/>
              </w:rPr>
              <w:t xml:space="preserve">Môže Únia konať? Aký je právny </w:t>
            </w:r>
            <w:r>
              <w:rPr>
                <w:b/>
                <w:i/>
                <w:noProof/>
                <w:sz w:val="22"/>
              </w:rPr>
              <w:t>základ zamýšľaného opatrenia Únie a aká právomoc je s ním spojená?</w:t>
            </w:r>
          </w:p>
        </w:tc>
      </w:tr>
      <w:tr w:rsidR="00B97195">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B97195" w:rsidRDefault="002115B1">
            <w:pPr>
              <w:spacing w:after="0"/>
              <w:rPr>
                <w:b/>
                <w:noProof/>
                <w:sz w:val="22"/>
                <w:szCs w:val="22"/>
              </w:rPr>
            </w:pPr>
            <w:r>
              <w:rPr>
                <w:b/>
                <w:noProof/>
                <w:sz w:val="22"/>
              </w:rPr>
              <w:t>1.1. Ktoré články zmluvy sa používajú na podporu legislatívneho návrhu alebo politickej iniciatívy?</w:t>
            </w:r>
          </w:p>
        </w:tc>
      </w:tr>
      <w:tr w:rsidR="00B97195">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B97195" w:rsidRDefault="00B97195">
            <w:pPr>
              <w:spacing w:after="0"/>
              <w:rPr>
                <w:noProof/>
                <w:sz w:val="22"/>
                <w:szCs w:val="22"/>
              </w:rPr>
            </w:pPr>
          </w:p>
        </w:tc>
      </w:tr>
      <w:tr w:rsidR="00B97195">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B97195" w:rsidRDefault="002115B1">
            <w:pPr>
              <w:spacing w:after="0"/>
              <w:rPr>
                <w:b/>
                <w:noProof/>
                <w:sz w:val="22"/>
                <w:szCs w:val="22"/>
              </w:rPr>
            </w:pPr>
            <w:r>
              <w:rPr>
                <w:b/>
                <w:noProof/>
                <w:sz w:val="22"/>
              </w:rPr>
              <w:t>1.2. Je právomoc Únie, ktorú predstavuje tento článok zmluvy, svojou povahou výlučná,</w:t>
            </w:r>
            <w:r>
              <w:rPr>
                <w:b/>
                <w:noProof/>
                <w:sz w:val="22"/>
              </w:rPr>
              <w:t xml:space="preserve"> spoločná alebo podporná?</w:t>
            </w:r>
          </w:p>
        </w:tc>
      </w:tr>
      <w:tr w:rsidR="00B97195">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B97195" w:rsidRDefault="00B97195">
            <w:pPr>
              <w:spacing w:after="0"/>
              <w:rPr>
                <w:noProof/>
                <w:sz w:val="22"/>
                <w:szCs w:val="22"/>
              </w:rPr>
            </w:pPr>
          </w:p>
        </w:tc>
      </w:tr>
      <w:tr w:rsidR="00B97195">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B97195" w:rsidRDefault="002115B1">
            <w:pPr>
              <w:spacing w:after="0"/>
              <w:rPr>
                <w:i/>
                <w:noProof/>
                <w:sz w:val="22"/>
                <w:szCs w:val="22"/>
              </w:rPr>
            </w:pPr>
            <w:r>
              <w:rPr>
                <w:i/>
                <w:noProof/>
                <w:sz w:val="22"/>
              </w:rPr>
              <w:t xml:space="preserve">Subsidiarita sa neuplatňuje na oblasti politiky, v ktorých má Únia </w:t>
            </w:r>
            <w:r>
              <w:rPr>
                <w:i/>
                <w:noProof/>
                <w:sz w:val="22"/>
                <w:u w:val="single"/>
              </w:rPr>
              <w:t>výlučnú</w:t>
            </w:r>
            <w:r>
              <w:rPr>
                <w:i/>
                <w:noProof/>
                <w:sz w:val="22"/>
              </w:rPr>
              <w:t xml:space="preserve"> právomoc, ako sa vymedzuje v článku 3 ZFEÚ.  Konkrétnym právnym základom sa určuje, či sa na návrh vzťahuje postup kontroly dodržiavania zásady subsidia</w:t>
            </w:r>
            <w:r>
              <w:rPr>
                <w:i/>
                <w:noProof/>
                <w:sz w:val="22"/>
              </w:rPr>
              <w:t>rity. V článku 4 ZFEÚ sa uvádzajú oblasti, v ktorých majú Únia a členské štáty spoločnú právomoc, a v článku 6 ZFEÚ sa uvádzajú oblasti, v ktorých má Únia len právomoc podporovať opatrenia členských štátov.</w:t>
            </w:r>
          </w:p>
        </w:tc>
      </w:tr>
    </w:tbl>
    <w:p w:rsidR="00B97195" w:rsidRDefault="00B97195">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B97195">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B97195" w:rsidRDefault="002115B1">
            <w:pPr>
              <w:pStyle w:val="ListParagraph"/>
              <w:numPr>
                <w:ilvl w:val="0"/>
                <w:numId w:val="28"/>
              </w:numPr>
              <w:spacing w:after="0"/>
              <w:jc w:val="center"/>
              <w:rPr>
                <w:b/>
                <w:i/>
                <w:noProof/>
              </w:rPr>
            </w:pPr>
            <w:r>
              <w:rPr>
                <w:b/>
                <w:i/>
                <w:noProof/>
              </w:rPr>
              <w:t>Zásada subsidiarity: Prečo by mala EÚ konať?</w:t>
            </w: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120"/>
              <w:jc w:val="left"/>
              <w:rPr>
                <w:b/>
                <w:noProof/>
                <w:sz w:val="22"/>
                <w:szCs w:val="22"/>
              </w:rPr>
            </w:pPr>
            <w:r>
              <w:rPr>
                <w:b/>
                <w:noProof/>
                <w:sz w:val="22"/>
              </w:rPr>
              <w:t>2.1. Spĺňa návrh procedurálne požiadavky protokolu č. 2?:</w:t>
            </w:r>
          </w:p>
          <w:p w:rsidR="00B97195" w:rsidRDefault="002115B1">
            <w:pPr>
              <w:pStyle w:val="ListDash1"/>
              <w:tabs>
                <w:tab w:val="left" w:pos="720"/>
              </w:tabs>
              <w:spacing w:after="120"/>
              <w:ind w:left="426" w:hanging="284"/>
              <w:rPr>
                <w:noProof/>
                <w:sz w:val="22"/>
                <w:szCs w:val="22"/>
              </w:rPr>
            </w:pPr>
            <w:r>
              <w:rPr>
                <w:noProof/>
                <w:sz w:val="22"/>
              </w:rPr>
              <w:t>Uskutočnili sa pred predložením návrhu aktu rozsiahle konzultácie?</w:t>
            </w:r>
          </w:p>
          <w:p w:rsidR="00B97195" w:rsidRDefault="002115B1">
            <w:pPr>
              <w:pStyle w:val="ListDash1"/>
              <w:tabs>
                <w:tab w:val="left" w:pos="720"/>
              </w:tabs>
              <w:spacing w:after="120"/>
              <w:ind w:left="426" w:hanging="284"/>
              <w:rPr>
                <w:b/>
                <w:noProof/>
              </w:rPr>
            </w:pPr>
            <w:r>
              <w:rPr>
                <w:noProof/>
                <w:sz w:val="22"/>
              </w:rPr>
              <w:t xml:space="preserve">Existuje podrobné vyhlásenie s kvalitatívnymi a pokiaľ možno aj s kvantitatívnymi ukazovateľmi, ktoré umožňujú vyhodnotiť, či </w:t>
            </w:r>
            <w:r>
              <w:rPr>
                <w:noProof/>
                <w:sz w:val="22"/>
              </w:rPr>
              <w:t>opatrenie možno najlepšie dosiahnuť na úrovni Únie?</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b/>
                <w:noProof/>
              </w:rPr>
            </w:pP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0"/>
              <w:rPr>
                <w:b/>
                <w:noProof/>
              </w:rPr>
            </w:pPr>
            <w:r>
              <w:rPr>
                <w:b/>
                <w:noProof/>
              </w:rPr>
              <w:t>2.2. Obsahuje dôvodová správa (a akékoľvek posúdenie vplyvu) pripojená k návrhu Komisie primerané odôvodnenie, pokiaľ ide o dodržanie zásady subsidiarity?</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b/>
                <w:noProof/>
              </w:rPr>
            </w:pP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0"/>
              <w:rPr>
                <w:b/>
                <w:noProof/>
              </w:rPr>
            </w:pPr>
            <w:r>
              <w:rPr>
                <w:b/>
                <w:noProof/>
              </w:rPr>
              <w:t xml:space="preserve">2.3. Vyplýva z odpovedí na nasledujúce </w:t>
            </w:r>
            <w:r>
              <w:rPr>
                <w:b/>
                <w:noProof/>
              </w:rPr>
              <w:t>otázky, že ciele navrhovaného opatrenia môžu uspokojivo dosiahnuť členské štáty konajúce samostatne (nevyhnutnosť opatrenia EÚ)?</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noProof/>
              </w:rPr>
            </w:pPr>
          </w:p>
          <w:p w:rsidR="00B97195" w:rsidRDefault="00B97195">
            <w:pPr>
              <w:spacing w:after="0"/>
              <w:rPr>
                <w:noProof/>
              </w:rPr>
            </w:pPr>
          </w:p>
        </w:tc>
      </w:tr>
      <w:tr w:rsidR="00B97195">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Majú problémy, ktoré sa riešia, významné/značné nadnárodné/cezhraničné aspekty? Boli tieto aspekty kvantifikované?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Bolo by vnútroštátne opatrenie alebo neexistencia opatrenia na úrovni EÚ v rozpore s ústrednými cieľmi zmluvy alebo by sa výrazne poškodili záujmy iných členských štátov?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Do akej miery členské štáty dokážu alebo môžu prijať primerané opatrenia?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Ako sa problém a jeho príčiny (napr. negatívne vonkajšie okolnosti, presahy) líšia na vnútroštátnej, regionálnej a miestnej úrovni EÚ?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Je problém rozšírený v celej EÚ alebo je obmedzený na niekoľko členských štátov?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Sú členské štáty</w:t>
            </w:r>
            <w:r>
              <w:rPr>
                <w:noProof/>
                <w:sz w:val="22"/>
              </w:rPr>
              <w:t xml:space="preserve"> preťažené pri dosahovaní cieľov plánovaného opatrenia?</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Ako sa v rámci EÚ líšia názory/preferované opatrenia vnútroštátnych, regionálnych a miestnych orgánov? </w:t>
            </w:r>
          </w:p>
        </w:tc>
      </w:tr>
      <w:tr w:rsidR="00B97195">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0"/>
              <w:rPr>
                <w:b/>
                <w:noProof/>
                <w:sz w:val="22"/>
                <w:szCs w:val="22"/>
              </w:rPr>
            </w:pPr>
            <w:r>
              <w:rPr>
                <w:b/>
                <w:noProof/>
                <w:sz w:val="22"/>
              </w:rPr>
              <w:t xml:space="preserve">2.4. Vyplýva z odpovedí na nasledujúce otázky, že ciele navrhovaného opatrenia sa </w:t>
            </w:r>
            <w:r>
              <w:rPr>
                <w:b/>
                <w:noProof/>
                <w:sz w:val="22"/>
              </w:rPr>
              <w:t>môžu lepšie dosiahnuť na úrovni Únie z dôvodu rozsahu alebo účinkov tohto opatrenia (pridaná hodnota EÚ)?</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noProof/>
              </w:rPr>
            </w:pPr>
          </w:p>
        </w:tc>
      </w:tr>
      <w:tr w:rsidR="00B97195">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Existujú jasné výhody opatrenia na úrovni EÚ?</w:t>
            </w:r>
          </w:p>
        </w:tc>
      </w:tr>
      <w:tr w:rsidR="00B97195">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Existujú úspory z rozsahu? Môžu sa ciele efektívnejšie splniť na úrovni EÚ (väčšie prínosy </w:t>
            </w:r>
            <w:r>
              <w:rPr>
                <w:noProof/>
                <w:sz w:val="22"/>
              </w:rPr>
              <w:t>na jednotku nákladov)? Zlepší sa fungovanie vnútorného trhu?</w:t>
            </w:r>
          </w:p>
        </w:tc>
      </w:tr>
      <w:tr w:rsidR="00B97195">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Aké sú prínosy nahradenia rôznych vnútroštátnych politík a pravidiel homogénnejším prístupom politiky? </w:t>
            </w:r>
          </w:p>
        </w:tc>
      </w:tr>
      <w:tr w:rsidR="00B97195">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 xml:space="preserve">Vyvážia prínosy opatrenia na úrovni EÚ stratu právomoci členských štátov </w:t>
            </w:r>
            <w:r>
              <w:rPr>
                <w:noProof/>
                <w:sz w:val="22"/>
              </w:rPr>
              <w:t>a miestnych a regionálnych orgánov (okrem nákladov a prínosov konania na vnútroštátnej, regionálnej a miestnej úrovni)?</w:t>
            </w:r>
          </w:p>
        </w:tc>
      </w:tr>
      <w:tr w:rsidR="00B97195">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B97195" w:rsidRDefault="00B97195">
            <w:pPr>
              <w:spacing w:after="0"/>
              <w:jc w:val="left"/>
              <w:rPr>
                <w:noProof/>
                <w:sz w:val="22"/>
                <w:szCs w:val="22"/>
              </w:rPr>
            </w:pPr>
          </w:p>
        </w:tc>
      </w:tr>
      <w:tr w:rsidR="00B97195">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B97195" w:rsidRDefault="002115B1">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B97195" w:rsidRDefault="002115B1">
            <w:pPr>
              <w:spacing w:after="0"/>
              <w:jc w:val="left"/>
              <w:rPr>
                <w:noProof/>
                <w:sz w:val="22"/>
                <w:szCs w:val="22"/>
              </w:rPr>
            </w:pPr>
            <w:r>
              <w:rPr>
                <w:noProof/>
                <w:sz w:val="22"/>
              </w:rPr>
              <w:t>Zlepší sa právna jasnosť pre tých, ktorí budú musieť právny predpis vykonávať?</w:t>
            </w:r>
          </w:p>
        </w:tc>
      </w:tr>
      <w:tr w:rsidR="00B97195">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B97195" w:rsidRDefault="00B97195">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B97195" w:rsidRDefault="00B97195">
            <w:pPr>
              <w:spacing w:after="0"/>
              <w:jc w:val="left"/>
              <w:rPr>
                <w:noProof/>
                <w:sz w:val="22"/>
                <w:szCs w:val="22"/>
              </w:rPr>
            </w:pPr>
          </w:p>
        </w:tc>
      </w:tr>
    </w:tbl>
    <w:p w:rsidR="00B97195" w:rsidRDefault="00B97195">
      <w:pPr>
        <w:rPr>
          <w:noProof/>
        </w:rPr>
      </w:pPr>
    </w:p>
    <w:p w:rsidR="00B97195" w:rsidRDefault="002115B1">
      <w:pPr>
        <w:spacing w:after="0"/>
        <w:jc w:val="left"/>
        <w:rPr>
          <w:noProof/>
        </w:rPr>
      </w:pPr>
      <w:r>
        <w:rPr>
          <w:noProof/>
        </w:rPr>
        <w:br w:type="page"/>
      </w: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B97195">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B97195" w:rsidRDefault="002115B1">
            <w:pPr>
              <w:pStyle w:val="ListParagraph"/>
              <w:numPr>
                <w:ilvl w:val="0"/>
                <w:numId w:val="28"/>
              </w:numPr>
              <w:spacing w:after="0"/>
              <w:jc w:val="center"/>
              <w:rPr>
                <w:b/>
                <w:i/>
                <w:noProof/>
                <w:sz w:val="22"/>
                <w:szCs w:val="22"/>
              </w:rPr>
            </w:pPr>
            <w:r>
              <w:rPr>
                <w:b/>
                <w:i/>
                <w:noProof/>
                <w:sz w:val="22"/>
              </w:rPr>
              <w:t>Proporcionalita: Ako by mala EÚ konať?</w:t>
            </w: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0"/>
              <w:rPr>
                <w:b/>
                <w:noProof/>
                <w:sz w:val="22"/>
                <w:szCs w:val="22"/>
              </w:rPr>
            </w:pPr>
            <w:r>
              <w:rPr>
                <w:b/>
                <w:noProof/>
                <w:sz w:val="22"/>
              </w:rPr>
              <w:t>3.1. Obsahuje dôvodová správa (a akékoľvek posúdenie vplyvu) pripojená k návrhu Komisie primerané odôvodnenie, pokiaľ ide o proporcionalitu návrhu, a vyhlásenie, ktoré umožňuje vyhodnotiť súlad návrhu so zásadou proporcionality?</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noProof/>
                <w:sz w:val="22"/>
                <w:szCs w:val="22"/>
              </w:rPr>
            </w:pPr>
          </w:p>
          <w:p w:rsidR="00B97195" w:rsidRDefault="00B97195">
            <w:pPr>
              <w:spacing w:after="0"/>
              <w:rPr>
                <w:noProof/>
                <w:sz w:val="22"/>
                <w:szCs w:val="22"/>
              </w:rPr>
            </w:pPr>
          </w:p>
        </w:tc>
      </w:tr>
      <w:tr w:rsidR="00B97195">
        <w:tc>
          <w:tcPr>
            <w:tcW w:w="8897" w:type="dxa"/>
            <w:gridSpan w:val="2"/>
            <w:tcBorders>
              <w:top w:val="single" w:sz="4" w:space="0" w:color="auto"/>
              <w:left w:val="double" w:sz="4" w:space="0" w:color="auto"/>
              <w:bottom w:val="single" w:sz="4" w:space="0" w:color="auto"/>
              <w:right w:val="double" w:sz="4" w:space="0" w:color="auto"/>
            </w:tcBorders>
            <w:hideMark/>
          </w:tcPr>
          <w:p w:rsidR="00B97195" w:rsidRDefault="002115B1">
            <w:pPr>
              <w:spacing w:after="0"/>
              <w:rPr>
                <w:b/>
                <w:noProof/>
                <w:sz w:val="22"/>
                <w:szCs w:val="22"/>
              </w:rPr>
            </w:pPr>
            <w:r>
              <w:rPr>
                <w:b/>
                <w:noProof/>
                <w:sz w:val="22"/>
              </w:rPr>
              <w:t>3.2. Vyplýva z odpovedí</w:t>
            </w:r>
            <w:r>
              <w:rPr>
                <w:b/>
                <w:noProof/>
                <w:sz w:val="22"/>
              </w:rPr>
              <w:t xml:space="preserve"> na nasledujúce otázky a z informácií dostupných z akéhokoľvek posúdenia vplyvu, dôvodovej správy alebo iných zdrojov, že navrhované opatrenie je primeraným prostriedkom na dosiahnutie zamýšľaných cieľov?</w:t>
            </w:r>
          </w:p>
        </w:tc>
      </w:tr>
      <w:tr w:rsidR="00B97195">
        <w:tc>
          <w:tcPr>
            <w:tcW w:w="8897" w:type="dxa"/>
            <w:gridSpan w:val="2"/>
            <w:tcBorders>
              <w:top w:val="single" w:sz="4" w:space="0" w:color="auto"/>
              <w:left w:val="double" w:sz="4" w:space="0" w:color="auto"/>
              <w:bottom w:val="single" w:sz="4" w:space="0" w:color="auto"/>
              <w:right w:val="double" w:sz="4" w:space="0" w:color="auto"/>
            </w:tcBorders>
          </w:tcPr>
          <w:p w:rsidR="00B97195" w:rsidRDefault="00B97195">
            <w:pPr>
              <w:spacing w:after="0"/>
              <w:rPr>
                <w:noProof/>
                <w:sz w:val="22"/>
                <w:szCs w:val="22"/>
              </w:rPr>
            </w:pPr>
          </w:p>
          <w:p w:rsidR="00B97195" w:rsidRDefault="00B97195">
            <w:pPr>
              <w:spacing w:after="0"/>
              <w:rPr>
                <w:noProof/>
                <w:sz w:val="22"/>
                <w:szCs w:val="22"/>
              </w:rPr>
            </w:pPr>
          </w:p>
        </w:tc>
      </w:tr>
      <w:tr w:rsidR="00B97195">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B97195" w:rsidRDefault="002115B1">
            <w:pPr>
              <w:spacing w:after="0"/>
              <w:rPr>
                <w:noProof/>
                <w:sz w:val="22"/>
                <w:szCs w:val="22"/>
              </w:rPr>
            </w:pPr>
            <w:r>
              <w:rPr>
                <w:noProof/>
                <w:sz w:val="22"/>
              </w:rPr>
              <w:t>Je iniciatíva obmedzená na aspekty, ktoré čl</w:t>
            </w:r>
            <w:r>
              <w:rPr>
                <w:noProof/>
                <w:sz w:val="22"/>
              </w:rPr>
              <w:t>enské štáty nemôžu uspokojivo dosiahnuť samy a v ktorých Únia môže dosiahnuť lepšie výsledky?</w:t>
            </w:r>
          </w:p>
        </w:tc>
      </w:tr>
      <w:tr w:rsidR="00B97195">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B97195" w:rsidRDefault="002115B1">
            <w:pPr>
              <w:spacing w:after="0"/>
              <w:rPr>
                <w:noProof/>
                <w:sz w:val="22"/>
                <w:szCs w:val="22"/>
              </w:rPr>
            </w:pPr>
            <w:r>
              <w:rPr>
                <w:noProof/>
                <w:sz w:val="22"/>
              </w:rPr>
              <w:t xml:space="preserve">Je forma opatrenia Únie (výber nástroja) odôvodnená, čo najjednoduchšia a súdržná s uspokojivým dosiahnutím sledovaných cieľov a zabezpečením ich plnenia </w:t>
            </w:r>
            <w:r>
              <w:rPr>
                <w:noProof/>
                <w:sz w:val="22"/>
              </w:rPr>
              <w:t>[napr. výber medzi nariadením, (rámcovou) smernicou, odporúčaním alebo alternatívnymi regulačnými postupmi ako je spoluregulácia atď.]?</w:t>
            </w:r>
          </w:p>
        </w:tc>
      </w:tr>
      <w:tr w:rsidR="00B97195">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B97195" w:rsidRDefault="002115B1">
            <w:pPr>
              <w:spacing w:after="0"/>
              <w:rPr>
                <w:noProof/>
                <w:sz w:val="22"/>
                <w:szCs w:val="22"/>
              </w:rPr>
            </w:pPr>
            <w:r>
              <w:rPr>
                <w:noProof/>
                <w:sz w:val="22"/>
              </w:rPr>
              <w:t xml:space="preserve">Ponecháva sa v rámci opatrenia Únie čo najväčší priestor pre vnútroštátne rozhodovanie a zároveň sa uspokojivo </w:t>
            </w:r>
            <w:r>
              <w:rPr>
                <w:noProof/>
                <w:sz w:val="22"/>
              </w:rPr>
              <w:t>dosahujú stanovené ciele? (napr. je možné obmedziť európske opatrenie na minimálne normy alebo použiť menej prísny nástroj alebo prístup?)</w:t>
            </w:r>
          </w:p>
        </w:tc>
      </w:tr>
      <w:tr w:rsidR="00B97195">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B97195" w:rsidRDefault="002115B1">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B97195" w:rsidRDefault="002115B1">
            <w:pPr>
              <w:spacing w:after="0"/>
              <w:rPr>
                <w:noProof/>
                <w:sz w:val="22"/>
                <w:szCs w:val="22"/>
              </w:rPr>
            </w:pPr>
            <w:r>
              <w:rPr>
                <w:noProof/>
                <w:sz w:val="22"/>
              </w:rPr>
              <w:t xml:space="preserve">Vedie iniciatíva k vzniku finančných alebo administratívnych nákladov pre Úniu, národné vlády, regionálne </w:t>
            </w:r>
            <w:r>
              <w:rPr>
                <w:noProof/>
                <w:sz w:val="22"/>
              </w:rPr>
              <w:t>alebo miestne orgány, hospodárske subjekty alebo občanov? Sú tieto náklady úmerné cieľu, ktorý sa má dosiahnuť?</w:t>
            </w:r>
          </w:p>
        </w:tc>
      </w:tr>
      <w:tr w:rsidR="00B97195">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B97195" w:rsidRDefault="00B97195">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B97195" w:rsidRDefault="00B97195">
            <w:pPr>
              <w:spacing w:after="0"/>
              <w:rPr>
                <w:noProof/>
                <w:sz w:val="22"/>
                <w:szCs w:val="22"/>
              </w:rPr>
            </w:pPr>
          </w:p>
        </w:tc>
      </w:tr>
      <w:tr w:rsidR="00B97195">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B97195" w:rsidRDefault="002115B1">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B97195" w:rsidRDefault="002115B1">
            <w:pPr>
              <w:spacing w:after="0"/>
              <w:rPr>
                <w:noProof/>
                <w:sz w:val="22"/>
                <w:szCs w:val="22"/>
              </w:rPr>
            </w:pPr>
            <w:r>
              <w:rPr>
                <w:noProof/>
                <w:sz w:val="22"/>
              </w:rPr>
              <w:t>Prihliadalo sa pri súbežnom rešpektovaní práva Únie na osobitné okolnosti, ktoré sa uplatňujú v jednotlivých členských štátoch?</w:t>
            </w:r>
          </w:p>
        </w:tc>
      </w:tr>
      <w:tr w:rsidR="00B97195">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B97195" w:rsidRDefault="00B97195">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B97195" w:rsidRDefault="00B97195">
            <w:pPr>
              <w:spacing w:after="0"/>
              <w:rPr>
                <w:noProof/>
                <w:sz w:val="22"/>
                <w:szCs w:val="22"/>
              </w:rPr>
            </w:pPr>
          </w:p>
        </w:tc>
      </w:tr>
    </w:tbl>
    <w:p w:rsidR="00B97195" w:rsidRPr="002115B1" w:rsidRDefault="00B97195">
      <w:pPr>
        <w:rPr>
          <w:noProof/>
        </w:rPr>
      </w:pPr>
    </w:p>
    <w:sectPr w:rsidR="00B97195" w:rsidRPr="002115B1">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95" w:rsidRDefault="002115B1">
      <w:pPr>
        <w:spacing w:after="0"/>
      </w:pPr>
      <w:r>
        <w:separator/>
      </w:r>
    </w:p>
  </w:endnote>
  <w:endnote w:type="continuationSeparator" w:id="0">
    <w:p w:rsidR="00B97195" w:rsidRDefault="00211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FooterCoverPage"/>
      <w:rPr>
        <w:rFonts w:ascii="Arial" w:hAnsi="Arial" w:cs="Arial"/>
        <w:b/>
        <w:sz w:val="48"/>
      </w:rPr>
    </w:pPr>
    <w:r w:rsidRPr="002115B1">
      <w:rPr>
        <w:rFonts w:ascii="Arial" w:hAnsi="Arial" w:cs="Arial"/>
        <w:b/>
        <w:sz w:val="48"/>
      </w:rPr>
      <w:t>SK</w:t>
    </w:r>
    <w:r w:rsidRPr="002115B1">
      <w:rPr>
        <w:rFonts w:ascii="Arial" w:hAnsi="Arial" w:cs="Arial"/>
        <w:b/>
        <w:sz w:val="48"/>
      </w:rPr>
      <w:tab/>
    </w:r>
    <w:r w:rsidRPr="002115B1">
      <w:rPr>
        <w:rFonts w:ascii="Arial" w:hAnsi="Arial" w:cs="Arial"/>
        <w:b/>
        <w:sz w:val="48"/>
      </w:rPr>
      <w:tab/>
    </w:r>
    <w:r w:rsidRPr="002115B1">
      <w:tab/>
    </w:r>
    <w:r w:rsidRPr="002115B1">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B971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2115B1">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2115B1">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95" w:rsidRDefault="002115B1">
      <w:pPr>
        <w:spacing w:after="0"/>
      </w:pPr>
      <w:r>
        <w:separator/>
      </w:r>
    </w:p>
  </w:footnote>
  <w:footnote w:type="continuationSeparator" w:id="0">
    <w:p w:rsidR="00B97195" w:rsidRDefault="002115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2115B1" w:rsidRDefault="002115B1" w:rsidP="002115B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B97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B971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95" w:rsidRDefault="00B9719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2"/>
    <w:docVar w:name="LW_ANNEX_UNIQUE" w:val="0"/>
    <w:docVar w:name="LW_CORRIGENDUM" w:val="&lt;UNUSED&gt;"/>
    <w:docVar w:name="LW_COVERPAGE_EXISTS" w:val="True"/>
    <w:docVar w:name="LW_COVERPAGE_GUID" w:val="F83A9D09-6267-42DA-A388-E50AAE3A4312"/>
    <w:docVar w:name="LW_COVERPAGE_TYPE" w:val="1"/>
    <w:docVar w:name="LW_CROSSREFERENCE" w:val="{COM(2018) 490}_x000a_{COM(2018) 491}"/>
    <w:docVar w:name="LW_DATE.ADOPT.CP_ISODATE" w:val="&lt;EMPTY&gt;"/>
    <w:docVar w:name="LW_DocType" w:val="REP"/>
    <w:docVar w:name="LW_EMISSION" w:val="23. 10. 2018"/>
    <w:docVar w:name="LW_EMISSION_ISODATE" w:val="2018-10-23"/>
    <w:docVar w:name="LW_EMISSION_LOCATION" w:val="STR"/>
    <w:docVar w:name="LW_EMISSION_PREFIX" w:val="V \u352?trasburgu"/>
    <w:docVar w:name="LW_EMISSION_SUFFIX" w:val=" "/>
    <w:docVar w:name="LW_ID_DOCTYPE_NONLW" w:val="CP-039"/>
    <w:docVar w:name="LW_INTERETEEE.CP" w:val="&lt;UNUSED&gt;"/>
    <w:docVar w:name="LW_LANGUE" w:val="SK"/>
    <w:docVar w:name="LW_LANGUESFAISANTFOI.CP" w:val="&lt;UNUSED&gt;"/>
    <w:docVar w:name="LW_LEVEL_OF_SENSITIVITY" w:val="Standard treatment"/>
    <w:docVar w:name="LW_NOM.INST" w:val="EURÓPSKA KOMISIA"/>
    <w:docVar w:name="LW_NOM.INST_JOINTDOC" w:val="&lt;EMPTY&gt;"/>
    <w:docVar w:name="LW_OBJETACTEPRINCIPAL.CP" w:val="Zásady subsidiarity a proporcionality \u8211? Posilnenie ich úlohy pri tvorbe politiky EÚ_x000b_"/>
    <w:docVar w:name="LW_PART_NBR" w:val="&lt;UNUSED&gt;"/>
    <w:docVar w:name="LW_PART_NBR_TOTAL" w:val="&lt;UNUSED&gt;"/>
    <w:docVar w:name="LW_REF.II.NEW.CP" w:val="&lt;UNUSED&gt;"/>
    <w:docVar w:name="LW_REF.II.NEW.CP_NUMBER" w:val="&lt;UNUSED&gt;"/>
    <w:docVar w:name="LW_REF.II.NEW.CP_YEAR" w:val="2018"/>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ÍLOHY_x000b_"/>
    <w:docVar w:name="LW_TYPEACTEPRINCIPAL.CP" w:val="OZNÁMENIU KOMISIE EURÓPSKEMU PARLAMENTU, EURÓPSKEJ RADE, RADE, EURÓPSKEMU HOSPODÁRSKEMU A SOCIÁLNEMU VÝBORU A VÝBORU REGIÓNOV_x000b_"/>
  </w:docVars>
  <w:rsids>
    <w:rsidRoot w:val="00B97195"/>
    <w:rsid w:val="002115B1"/>
    <w:rsid w:val="00B9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D4799CD-752B-4E90-B5EC-28CA20F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k-SK"/>
    </w:rPr>
  </w:style>
  <w:style w:type="character" w:customStyle="1" w:styleId="HeaderChar">
    <w:name w:val="Header Char"/>
    <w:basedOn w:val="DefaultParagraphFont"/>
    <w:link w:val="Header"/>
    <w:uiPriority w:val="99"/>
    <w:rPr>
      <w:sz w:val="24"/>
      <w:lang w:eastAsia="sk-SK"/>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2018-10-17T17:34:49</Date>
    <Language>EN</Language>
  </Created>
  <Edited>
    <Version>10.0.37613.0</Version>
    <Date>2018-11-05T10:31:25</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5B4DBC48-88FA-49A8-B281-B3A9C66A5659}">
  <ds:schemaRefs/>
</ds:datastoreItem>
</file>

<file path=customXml/itemProps2.xml><?xml version="1.0" encoding="utf-8"?>
<ds:datastoreItem xmlns:ds="http://schemas.openxmlformats.org/officeDocument/2006/customXml" ds:itemID="{BB4E2109-C55E-49C4-99E1-9D1DD31552F2}">
  <ds:schemaRefs/>
</ds:datastoreItem>
</file>

<file path=customXml/itemProps3.xml><?xml version="1.0" encoding="utf-8"?>
<ds:datastoreItem xmlns:ds="http://schemas.openxmlformats.org/officeDocument/2006/customXml" ds:itemID="{BFE1FD3A-8616-443B-87F6-9F2B27931FF7}">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7</Pages>
  <Words>1856</Words>
  <Characters>11733</Characters>
  <Application>Microsoft Office Word</Application>
  <DocSecurity>0</DocSecurity>
  <PresentationFormat>Microsoft Word 14.0</PresentationFormat>
  <Lines>272</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9</cp:revision>
  <dcterms:created xsi:type="dcterms:W3CDTF">2018-10-31T08:31:00Z</dcterms:created>
  <dcterms:modified xsi:type="dcterms:W3CDTF">2018-11-05T09:31:00Z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