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E983D00-A7D1-4FF1-A526-C9E24FCD13D1" style="width:450.75pt;height:367.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rPr>
        <w:lastRenderedPageBreak/>
        <w:t>Popis dokumenata Komisije</w:t>
      </w:r>
      <w:r>
        <w:rPr>
          <w:b/>
          <w:noProof/>
          <w:szCs w:val="24"/>
        </w:rPr>
        <w:br/>
      </w:r>
      <w:r>
        <w:rPr>
          <w:b/>
          <w:noProof/>
        </w:rPr>
        <w:t>za koje je Komisija 2017. od nacionalnih parlamenata zaprimila obrazložena mišljenja</w:t>
      </w:r>
      <w:r>
        <w:rPr>
          <w:b/>
          <w:noProof/>
          <w:vertAlign w:val="superscript"/>
        </w:rPr>
        <w:footnoteReference w:id="1"/>
      </w:r>
      <w:r>
        <w:rPr>
          <w:b/>
          <w:noProof/>
        </w:rPr>
        <w:t xml:space="preserve"> </w:t>
      </w:r>
      <w:r>
        <w:rPr>
          <w:b/>
          <w:noProof/>
          <w:szCs w:val="24"/>
        </w:rPr>
        <w:br/>
      </w:r>
      <w:r>
        <w:rPr>
          <w:b/>
          <w:noProof/>
        </w:rPr>
        <w:t>o usklađenosti s načelom supsidijarnosti</w:t>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Dokument</w:t>
            </w:r>
            <w:r>
              <w:rPr>
                <w:b/>
                <w:noProof/>
                <w:sz w:val="20"/>
              </w:rPr>
              <w:br/>
              <w:t>Komisije</w:t>
            </w:r>
          </w:p>
        </w:tc>
        <w:tc>
          <w:tcPr>
            <w:tcW w:w="2811" w:type="dxa"/>
            <w:shd w:val="clear" w:color="auto" w:fill="auto"/>
            <w:vAlign w:val="center"/>
          </w:tcPr>
          <w:p>
            <w:pPr>
              <w:spacing w:after="0"/>
              <w:jc w:val="center"/>
              <w:rPr>
                <w:noProof/>
                <w:sz w:val="20"/>
              </w:rPr>
            </w:pPr>
            <w:r>
              <w:rPr>
                <w:b/>
                <w:noProof/>
                <w:sz w:val="20"/>
              </w:rPr>
              <w:t>Naslov</w:t>
            </w:r>
          </w:p>
        </w:tc>
        <w:tc>
          <w:tcPr>
            <w:tcW w:w="1207" w:type="dxa"/>
            <w:shd w:val="clear" w:color="auto" w:fill="auto"/>
            <w:vAlign w:val="center"/>
          </w:tcPr>
          <w:p>
            <w:pPr>
              <w:spacing w:after="0"/>
              <w:jc w:val="center"/>
              <w:rPr>
                <w:b/>
                <w:noProof/>
                <w:sz w:val="20"/>
              </w:rPr>
            </w:pPr>
            <w:r>
              <w:rPr>
                <w:b/>
                <w:noProof/>
                <w:sz w:val="20"/>
              </w:rPr>
              <w:t>Broj</w:t>
            </w:r>
            <w:r>
              <w:rPr>
                <w:b/>
                <w:noProof/>
                <w:sz w:val="20"/>
              </w:rPr>
              <w:br/>
              <w:t>obrazloženih</w:t>
            </w:r>
            <w:r>
              <w:rPr>
                <w:b/>
                <w:noProof/>
                <w:sz w:val="20"/>
              </w:rPr>
              <w:br/>
              <w:t>mišljenja</w:t>
            </w:r>
            <w:r>
              <w:rPr>
                <w:b/>
                <w:noProof/>
                <w:sz w:val="20"/>
              </w:rPr>
              <w:br/>
              <w:t>(Protokol</w:t>
            </w:r>
            <w:r>
              <w:rPr>
                <w:b/>
                <w:noProof/>
                <w:sz w:val="20"/>
              </w:rPr>
              <w:br/>
              <w:t>br. 2)</w:t>
            </w:r>
          </w:p>
        </w:tc>
        <w:tc>
          <w:tcPr>
            <w:tcW w:w="1157" w:type="dxa"/>
            <w:shd w:val="clear" w:color="auto" w:fill="auto"/>
            <w:vAlign w:val="center"/>
          </w:tcPr>
          <w:p>
            <w:pPr>
              <w:spacing w:after="0"/>
              <w:jc w:val="center"/>
              <w:rPr>
                <w:noProof/>
                <w:sz w:val="20"/>
              </w:rPr>
            </w:pPr>
            <w:r>
              <w:rPr>
                <w:b/>
                <w:noProof/>
                <w:sz w:val="20"/>
              </w:rPr>
              <w:t>Broj</w:t>
            </w:r>
            <w:r>
              <w:rPr>
                <w:b/>
                <w:noProof/>
                <w:sz w:val="20"/>
              </w:rPr>
              <w:br/>
              <w:t>glasova</w:t>
            </w:r>
            <w:r>
              <w:rPr>
                <w:b/>
                <w:noProof/>
                <w:sz w:val="20"/>
              </w:rPr>
              <w:br/>
              <w:t>(Protokol</w:t>
            </w:r>
            <w:r>
              <w:rPr>
                <w:b/>
                <w:noProof/>
                <w:sz w:val="20"/>
              </w:rPr>
              <w:br/>
              <w:t>br. 2)</w:t>
            </w:r>
            <w:r>
              <w:rPr>
                <w:noProof/>
                <w:sz w:val="20"/>
                <w:vertAlign w:val="superscript"/>
              </w:rPr>
              <w:footnoteReference w:id="2"/>
            </w:r>
          </w:p>
        </w:tc>
        <w:tc>
          <w:tcPr>
            <w:tcW w:w="3022" w:type="dxa"/>
            <w:shd w:val="clear" w:color="auto" w:fill="auto"/>
            <w:vAlign w:val="center"/>
          </w:tcPr>
          <w:p>
            <w:pPr>
              <w:spacing w:after="0"/>
              <w:jc w:val="center"/>
              <w:rPr>
                <w:noProof/>
                <w:sz w:val="20"/>
              </w:rPr>
            </w:pPr>
            <w:r>
              <w:rPr>
                <w:b/>
                <w:noProof/>
                <w:sz w:val="20"/>
              </w:rPr>
              <w:t>Dom nacionalnog parlamenta</w:t>
            </w:r>
            <w:r>
              <w:rPr>
                <w:b/>
                <w:noProof/>
                <w:sz w:val="20"/>
              </w:rPr>
              <w:br/>
              <w:t>koji je dostavio</w:t>
            </w:r>
            <w:r>
              <w:rPr>
                <w:b/>
                <w:noProof/>
                <w:sz w:val="20"/>
              </w:rPr>
              <w:br/>
              <w:t>obrazložena mišljenja</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rPr>
            </w:pPr>
            <w:r>
              <w:rPr>
                <w:noProof/>
                <w:color w:val="000000"/>
                <w:sz w:val="20"/>
              </w:rPr>
              <w:t>COM (2016) 861</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w:t>
            </w:r>
            <w:r>
              <w:rPr>
                <w:b/>
                <w:noProof/>
                <w:color w:val="000000"/>
                <w:sz w:val="20"/>
              </w:rPr>
              <w:t>o unutarnjem tržištu električne energije</w:t>
            </w:r>
            <w:r>
              <w:rPr>
                <w:noProof/>
                <w:color w:val="000000"/>
                <w:sz w:val="20"/>
              </w:rPr>
              <w:t xml:space="preserve"> (preinaka) </w:t>
            </w:r>
          </w:p>
        </w:tc>
        <w:tc>
          <w:tcPr>
            <w:tcW w:w="1207" w:type="dxa"/>
            <w:shd w:val="clear" w:color="auto" w:fill="auto"/>
          </w:tcPr>
          <w:p>
            <w:pPr>
              <w:spacing w:after="0"/>
              <w:jc w:val="center"/>
              <w:rPr>
                <w:noProof/>
                <w:color w:val="000000"/>
                <w:sz w:val="20"/>
              </w:rPr>
            </w:pPr>
            <w:r>
              <w:rPr>
                <w:noProof/>
                <w:color w:val="000000"/>
                <w:sz w:val="20"/>
              </w:rPr>
              <w:t>11</w:t>
            </w:r>
          </w:p>
        </w:tc>
        <w:tc>
          <w:tcPr>
            <w:tcW w:w="1157" w:type="dxa"/>
            <w:shd w:val="clear" w:color="auto" w:fill="auto"/>
          </w:tcPr>
          <w:p>
            <w:pPr>
              <w:spacing w:after="0"/>
              <w:jc w:val="center"/>
              <w:rPr>
                <w:noProof/>
                <w:color w:val="000000"/>
                <w:sz w:val="20"/>
              </w:rPr>
            </w:pPr>
            <w:r>
              <w:rPr>
                <w:noProof/>
                <w:color w:val="000000"/>
                <w:sz w:val="20"/>
              </w:rPr>
              <w:t>13</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austrijski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španjolski </w:t>
            </w:r>
            <w:r>
              <w:rPr>
                <w:i/>
                <w:noProof/>
                <w:sz w:val="20"/>
              </w:rPr>
              <w:t>Cortes Generales</w:t>
            </w:r>
            <w:r>
              <w:rPr>
                <w:noProof/>
                <w:sz w:val="20"/>
              </w:rPr>
              <w:t xml:space="preserve"> (dva glasa) </w:t>
            </w:r>
          </w:p>
          <w:p>
            <w:pPr>
              <w:spacing w:after="0"/>
              <w:jc w:val="left"/>
              <w:rPr>
                <w:noProof/>
                <w:sz w:val="20"/>
              </w:rPr>
            </w:pPr>
          </w:p>
          <w:p>
            <w:pPr>
              <w:spacing w:after="0"/>
              <w:jc w:val="left"/>
              <w:rPr>
                <w:noProof/>
                <w:sz w:val="20"/>
              </w:rPr>
            </w:pPr>
            <w:r>
              <w:rPr>
                <w:noProof/>
                <w:sz w:val="20"/>
              </w:rPr>
              <w:t xml:space="preserve">francuski </w:t>
            </w:r>
            <w:r>
              <w:rPr>
                <w:i/>
                <w:noProof/>
                <w:sz w:val="20"/>
              </w:rPr>
              <w:t>Sénat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mađarski </w:t>
            </w:r>
            <w:r>
              <w:rPr>
                <w:i/>
                <w:noProof/>
                <w:color w:val="000000"/>
                <w:sz w:val="20"/>
              </w:rPr>
              <w:t xml:space="preserve">Országgyűlés </w:t>
            </w:r>
            <w:r>
              <w:rPr>
                <w:noProof/>
                <w:sz w:val="20"/>
              </w:rPr>
              <w:t>(dva glasa)</w:t>
            </w:r>
          </w:p>
          <w:p>
            <w:pPr>
              <w:spacing w:after="0"/>
              <w:jc w:val="left"/>
              <w:rPr>
                <w:i/>
                <w:iCs/>
                <w:noProof/>
                <w:color w:val="000000"/>
                <w:sz w:val="20"/>
              </w:rPr>
            </w:pPr>
          </w:p>
          <w:p>
            <w:pPr>
              <w:spacing w:after="0"/>
              <w:jc w:val="left"/>
              <w:rPr>
                <w:noProof/>
                <w:sz w:val="20"/>
              </w:rPr>
            </w:pPr>
            <w:r>
              <w:rPr>
                <w:noProof/>
                <w:color w:val="000000"/>
                <w:sz w:val="20"/>
              </w:rPr>
              <w:t xml:space="preserve">poljski </w:t>
            </w:r>
            <w:r>
              <w:rPr>
                <w:i/>
                <w:noProof/>
                <w:color w:val="000000"/>
                <w:sz w:val="20"/>
              </w:rPr>
              <w:t>Sejm</w:t>
            </w:r>
            <w:r>
              <w:rPr>
                <w:noProof/>
                <w:color w:val="000000"/>
                <w:sz w:val="20"/>
              </w:rPr>
              <w:t xml:space="preserve"> </w:t>
            </w:r>
            <w:r>
              <w:rPr>
                <w:noProof/>
                <w:sz w:val="20"/>
              </w:rPr>
              <w:t xml:space="preserve">(jedan glas) </w:t>
            </w:r>
          </w:p>
          <w:p>
            <w:pPr>
              <w:spacing w:after="0"/>
              <w:jc w:val="left"/>
              <w:rPr>
                <w:iCs/>
                <w:noProof/>
                <w:color w:val="000000"/>
                <w:sz w:val="20"/>
              </w:rPr>
            </w:pPr>
          </w:p>
          <w:p>
            <w:pPr>
              <w:spacing w:after="0"/>
              <w:jc w:val="left"/>
              <w:rPr>
                <w:noProof/>
                <w:sz w:val="20"/>
              </w:rPr>
            </w:pPr>
            <w:r>
              <w:rPr>
                <w:noProof/>
                <w:color w:val="000000"/>
                <w:sz w:val="20"/>
              </w:rPr>
              <w:t xml:space="preserve">poljski </w:t>
            </w:r>
            <w:r>
              <w:rPr>
                <w:i/>
                <w:noProof/>
                <w:color w:val="000000"/>
                <w:sz w:val="20"/>
              </w:rPr>
              <w:t>Senat</w:t>
            </w:r>
            <w:r>
              <w:rPr>
                <w:noProof/>
                <w:color w:val="000000"/>
                <w:sz w:val="20"/>
              </w:rPr>
              <w:t xml:space="preserve"> </w:t>
            </w:r>
            <w:r>
              <w:rPr>
                <w:noProof/>
                <w:sz w:val="20"/>
              </w:rPr>
              <w:t xml:space="preserve">(jedan glas) </w:t>
            </w:r>
          </w:p>
          <w:p>
            <w:pPr>
              <w:spacing w:after="0"/>
              <w:jc w:val="left"/>
              <w:rPr>
                <w:iCs/>
                <w:noProof/>
                <w:color w:val="000000"/>
                <w:sz w:val="20"/>
              </w:rPr>
            </w:pPr>
          </w:p>
          <w:p>
            <w:pPr>
              <w:spacing w:after="0"/>
              <w:jc w:val="left"/>
              <w:rPr>
                <w:noProof/>
                <w:sz w:val="20"/>
              </w:rPr>
            </w:pPr>
            <w:r>
              <w:rPr>
                <w:noProof/>
                <w:color w:val="000000"/>
                <w:sz w:val="20"/>
              </w:rPr>
              <w:t xml:space="preserve">češki </w:t>
            </w:r>
            <w:r>
              <w:rPr>
                <w:i/>
                <w:noProof/>
                <w:color w:val="000000"/>
                <w:sz w:val="20"/>
              </w:rPr>
              <w:t xml:space="preserve">Poslanecká sněmovna </w:t>
            </w:r>
            <w:r>
              <w:rPr>
                <w:noProof/>
                <w:sz w:val="20"/>
              </w:rPr>
              <w:t xml:space="preserve">(jedan glas) </w:t>
            </w:r>
          </w:p>
          <w:p>
            <w:pPr>
              <w:spacing w:after="0"/>
              <w:jc w:val="left"/>
              <w:rPr>
                <w:i/>
                <w:iCs/>
                <w:noProof/>
                <w:color w:val="000000"/>
                <w:sz w:val="20"/>
              </w:rPr>
            </w:pPr>
          </w:p>
          <w:p>
            <w:pPr>
              <w:spacing w:after="0"/>
              <w:jc w:val="left"/>
              <w:rPr>
                <w:noProof/>
                <w:sz w:val="20"/>
              </w:rPr>
            </w:pPr>
            <w:r>
              <w:rPr>
                <w:noProof/>
                <w:sz w:val="20"/>
              </w:rPr>
              <w:t xml:space="preserve">rumunjski </w:t>
            </w:r>
            <w:r>
              <w:rPr>
                <w:i/>
                <w:noProof/>
                <w:color w:val="000000"/>
                <w:sz w:val="20"/>
              </w:rPr>
              <w:t xml:space="preserve">Camera Deputaților </w:t>
            </w:r>
            <w:r>
              <w:rPr>
                <w:noProof/>
                <w:sz w:val="20"/>
              </w:rPr>
              <w:t xml:space="preserve">(jedan glas) </w:t>
            </w:r>
          </w:p>
          <w:p>
            <w:pPr>
              <w:spacing w:after="0"/>
              <w:jc w:val="left"/>
              <w:rPr>
                <w:i/>
                <w:iCs/>
                <w:noProof/>
                <w:color w:val="000000"/>
                <w:sz w:val="20"/>
              </w:rPr>
            </w:pPr>
          </w:p>
          <w:p>
            <w:pPr>
              <w:spacing w:after="0"/>
              <w:jc w:val="left"/>
              <w:rPr>
                <w:iCs/>
                <w:noProof/>
                <w:color w:val="000000"/>
                <w:sz w:val="20"/>
              </w:rPr>
            </w:pPr>
            <w:r>
              <w:rPr>
                <w:noProof/>
                <w:color w:val="000000"/>
                <w:sz w:val="20"/>
              </w:rPr>
              <w:t xml:space="preserve">rumunjski </w:t>
            </w:r>
            <w:r>
              <w:rPr>
                <w:i/>
                <w:noProof/>
                <w:color w:val="000000"/>
                <w:sz w:val="20"/>
              </w:rPr>
              <w:t>Senatul</w:t>
            </w:r>
            <w:r>
              <w:rPr>
                <w:noProof/>
                <w:color w:val="000000"/>
                <w:sz w:val="20"/>
              </w:rPr>
              <w:t xml:space="preserve"> </w:t>
            </w:r>
            <w:r>
              <w:rPr>
                <w:noProof/>
                <w:sz w:val="20"/>
              </w:rPr>
              <w:t xml:space="preserve">(jedan glas)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rPr>
            </w:pPr>
            <w:r>
              <w:rPr>
                <w:noProof/>
                <w:color w:val="000000"/>
                <w:sz w:val="20"/>
              </w:rPr>
              <w:t>COM (2016) 822</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w:t>
            </w:r>
            <w:r>
              <w:rPr>
                <w:b/>
                <w:noProof/>
                <w:color w:val="000000"/>
                <w:sz w:val="20"/>
              </w:rPr>
              <w:t>ispitivanju proporcionalnosti prije donošenja novih propisa kojima se uređuju profesije</w:t>
            </w:r>
          </w:p>
        </w:tc>
        <w:tc>
          <w:tcPr>
            <w:tcW w:w="1207" w:type="dxa"/>
            <w:shd w:val="clear" w:color="auto" w:fill="auto"/>
          </w:tcPr>
          <w:p>
            <w:pPr>
              <w:spacing w:after="0"/>
              <w:jc w:val="center"/>
              <w:rPr>
                <w:noProof/>
                <w:color w:val="000000"/>
                <w:sz w:val="20"/>
              </w:rPr>
            </w:pPr>
            <w:r>
              <w:rPr>
                <w:noProof/>
                <w:color w:val="000000"/>
                <w:sz w:val="20"/>
              </w:rPr>
              <w:t>5</w:t>
            </w:r>
          </w:p>
        </w:tc>
        <w:tc>
          <w:tcPr>
            <w:tcW w:w="1157" w:type="dxa"/>
            <w:shd w:val="clear" w:color="auto" w:fill="auto"/>
          </w:tcPr>
          <w:p>
            <w:pPr>
              <w:spacing w:after="0"/>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njemački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austrijski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francuski </w:t>
            </w:r>
            <w:r>
              <w:rPr>
                <w:i/>
                <w:noProof/>
                <w:sz w:val="20"/>
              </w:rPr>
              <w:t>Assemblée nationale</w:t>
            </w:r>
            <w:r>
              <w:rPr>
                <w:noProof/>
                <w:sz w:val="20"/>
              </w:rPr>
              <w:t xml:space="preserve"> (jedan glas)</w:t>
            </w:r>
          </w:p>
          <w:p>
            <w:pPr>
              <w:spacing w:after="0"/>
              <w:jc w:val="left"/>
              <w:rPr>
                <w:i/>
                <w:iCs/>
                <w:noProof/>
                <w:color w:val="000000"/>
                <w:sz w:val="20"/>
              </w:rPr>
            </w:pPr>
          </w:p>
          <w:p>
            <w:pPr>
              <w:spacing w:after="0"/>
              <w:jc w:val="left"/>
              <w:rPr>
                <w:noProof/>
                <w:sz w:val="20"/>
              </w:rPr>
            </w:pPr>
            <w:r>
              <w:rPr>
                <w:noProof/>
                <w:sz w:val="20"/>
              </w:rPr>
              <w:t xml:space="preserve">francuski </w:t>
            </w:r>
            <w:r>
              <w:rPr>
                <w:i/>
                <w:noProof/>
                <w:sz w:val="20"/>
              </w:rPr>
              <w:t>Sénat</w:t>
            </w:r>
            <w:r>
              <w:rPr>
                <w:noProof/>
                <w:sz w:val="20"/>
              </w:rPr>
              <w:t xml:space="preserve"> (jedan glas)</w:t>
            </w:r>
          </w:p>
        </w:tc>
      </w:tr>
      <w:tr>
        <w:trPr>
          <w:cantSplit/>
        </w:trPr>
        <w:tc>
          <w:tcPr>
            <w:tcW w:w="414" w:type="dxa"/>
            <w:shd w:val="clear" w:color="auto" w:fill="auto"/>
          </w:tcPr>
          <w:p>
            <w:pPr>
              <w:spacing w:after="0"/>
              <w:jc w:val="left"/>
              <w:rPr>
                <w:noProof/>
                <w:sz w:val="20"/>
              </w:rPr>
            </w:pPr>
            <w:r>
              <w:rPr>
                <w:noProof/>
                <w:sz w:val="20"/>
              </w:rPr>
              <w:lastRenderedPageBreak/>
              <w:t>3</w:t>
            </w:r>
          </w:p>
        </w:tc>
        <w:tc>
          <w:tcPr>
            <w:tcW w:w="1977" w:type="dxa"/>
            <w:shd w:val="clear" w:color="auto" w:fill="auto"/>
          </w:tcPr>
          <w:p>
            <w:pPr>
              <w:spacing w:after="0"/>
              <w:jc w:val="left"/>
              <w:rPr>
                <w:noProof/>
                <w:color w:val="000000"/>
                <w:sz w:val="20"/>
              </w:rPr>
            </w:pPr>
            <w:r>
              <w:rPr>
                <w:noProof/>
                <w:color w:val="000000"/>
                <w:sz w:val="20"/>
              </w:rPr>
              <w:t>COM (2017) 253</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w:t>
            </w:r>
            <w:r>
              <w:rPr>
                <w:b/>
                <w:noProof/>
                <w:color w:val="000000"/>
                <w:sz w:val="20"/>
              </w:rPr>
              <w:t>ravnoteži između poslovnog i privatnog života roditelja i skrbnika</w:t>
            </w:r>
            <w:r>
              <w:rPr>
                <w:noProof/>
                <w:color w:val="000000"/>
                <w:sz w:val="20"/>
              </w:rPr>
              <w:t xml:space="preserve"> i o stavljanju izvan snage Direktive Vijeća 2010/18/EU</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nizozemski </w:t>
            </w:r>
            <w:r>
              <w:rPr>
                <w:i/>
                <w:noProof/>
                <w:color w:val="000000"/>
                <w:sz w:val="20"/>
              </w:rPr>
              <w:t xml:space="preserve">Eerste Kamer </w:t>
            </w:r>
            <w:r>
              <w:rPr>
                <w:noProof/>
                <w:sz w:val="20"/>
              </w:rPr>
              <w:t xml:space="preserve">(jedan glas) </w:t>
            </w:r>
          </w:p>
          <w:p>
            <w:pPr>
              <w:spacing w:after="0"/>
              <w:jc w:val="left"/>
              <w:rPr>
                <w:i/>
                <w:iCs/>
                <w:noProof/>
                <w:color w:val="000000"/>
                <w:sz w:val="20"/>
              </w:rPr>
            </w:pPr>
          </w:p>
          <w:p>
            <w:pPr>
              <w:spacing w:after="0"/>
              <w:jc w:val="left"/>
              <w:rPr>
                <w:noProof/>
                <w:sz w:val="20"/>
              </w:rPr>
            </w:pPr>
            <w:r>
              <w:rPr>
                <w:noProof/>
                <w:sz w:val="20"/>
              </w:rPr>
              <w:t xml:space="preserve">nizozemski </w:t>
            </w:r>
            <w:r>
              <w:rPr>
                <w:i/>
                <w:noProof/>
                <w:sz w:val="20"/>
              </w:rPr>
              <w:t>Tweede Kamer</w:t>
            </w:r>
            <w:r>
              <w:rPr>
                <w:noProof/>
                <w:sz w:val="20"/>
              </w:rPr>
              <w:t xml:space="preserve"> (jedan glas)</w:t>
            </w:r>
          </w:p>
          <w:p>
            <w:pPr>
              <w:spacing w:after="0"/>
              <w:jc w:val="left"/>
              <w:rPr>
                <w:noProof/>
                <w:sz w:val="20"/>
              </w:rPr>
            </w:pPr>
          </w:p>
          <w:p>
            <w:pPr>
              <w:spacing w:after="0"/>
              <w:jc w:val="left"/>
              <w:rPr>
                <w:noProof/>
                <w:sz w:val="20"/>
              </w:rPr>
            </w:pPr>
            <w:r>
              <w:rPr>
                <w:noProof/>
                <w:sz w:val="20"/>
              </w:rPr>
              <w:t xml:space="preserve">poljski </w:t>
            </w:r>
            <w:r>
              <w:rPr>
                <w:i/>
                <w:noProof/>
                <w:sz w:val="20"/>
              </w:rPr>
              <w:t>Sejm</w:t>
            </w:r>
            <w:r>
              <w:rPr>
                <w:noProof/>
                <w:sz w:val="20"/>
              </w:rPr>
              <w:t xml:space="preserve"> (jedan glas)</w:t>
            </w:r>
          </w:p>
          <w:p>
            <w:pPr>
              <w:spacing w:after="0"/>
              <w:jc w:val="left"/>
              <w:rPr>
                <w:noProof/>
                <w:sz w:val="20"/>
              </w:rPr>
            </w:pPr>
          </w:p>
          <w:p>
            <w:pPr>
              <w:spacing w:after="0"/>
              <w:jc w:val="left"/>
              <w:rPr>
                <w:noProof/>
                <w:sz w:val="20"/>
              </w:rPr>
            </w:pPr>
            <w:r>
              <w:rPr>
                <w:noProof/>
                <w:sz w:val="20"/>
              </w:rPr>
              <w:t xml:space="preserve">poljski </w:t>
            </w:r>
            <w:r>
              <w:rPr>
                <w:i/>
                <w:noProof/>
                <w:sz w:val="20"/>
              </w:rPr>
              <w:t>Senat</w:t>
            </w:r>
            <w:r>
              <w:rPr>
                <w:noProof/>
                <w:sz w:val="20"/>
              </w:rPr>
              <w:t xml:space="preserve"> (jedan glas)</w:t>
            </w:r>
          </w:p>
        </w:tc>
      </w:tr>
      <w:tr>
        <w:trPr>
          <w:cantSplit/>
        </w:trPr>
        <w:tc>
          <w:tcPr>
            <w:tcW w:w="414" w:type="dxa"/>
            <w:shd w:val="clear" w:color="auto" w:fill="auto"/>
          </w:tcPr>
          <w:p>
            <w:pPr>
              <w:spacing w:after="0"/>
              <w:jc w:val="left"/>
              <w:rPr>
                <w:noProof/>
                <w:sz w:val="20"/>
              </w:rPr>
            </w:pPr>
            <w:r>
              <w:rPr>
                <w:noProof/>
                <w:sz w:val="20"/>
              </w:rPr>
              <w:t>4</w:t>
            </w:r>
          </w:p>
        </w:tc>
        <w:tc>
          <w:tcPr>
            <w:tcW w:w="1977" w:type="dxa"/>
            <w:shd w:val="clear" w:color="auto" w:fill="auto"/>
          </w:tcPr>
          <w:p>
            <w:pPr>
              <w:spacing w:after="0"/>
              <w:jc w:val="left"/>
              <w:rPr>
                <w:noProof/>
                <w:color w:val="000000"/>
                <w:sz w:val="20"/>
              </w:rPr>
            </w:pPr>
            <w:r>
              <w:rPr>
                <w:noProof/>
                <w:color w:val="000000"/>
                <w:sz w:val="20"/>
              </w:rPr>
              <w:t>COM (2016) 821</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provedbi Direktive 2006/123/EZ o uslugama na unutarnjem tržištu, kojom se utvrđuje </w:t>
            </w:r>
            <w:r>
              <w:rPr>
                <w:b/>
                <w:noProof/>
                <w:color w:val="000000"/>
                <w:sz w:val="20"/>
              </w:rPr>
              <w:t>postupak obavješćivanja kad je riječ o sustavima ovlašćivanja i zahtjevima povezanima s uslugama</w:t>
            </w:r>
            <w:r>
              <w:rPr>
                <w:noProof/>
                <w:color w:val="000000"/>
                <w:sz w:val="20"/>
              </w:rPr>
              <w:t xml:space="preserve"> te o izmjeni Direktive 2006/123/EZ i Uredbe (EU) br. 1024/2012 </w:t>
            </w:r>
            <w:r>
              <w:rPr>
                <w:b/>
                <w:noProof/>
                <w:color w:val="000000"/>
                <w:sz w:val="20"/>
              </w:rPr>
              <w:t>o administrativnoj suradnji putem Informacijskog sustava unutarnjeg tržišta</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njemački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francuski </w:t>
            </w:r>
            <w:r>
              <w:rPr>
                <w:i/>
                <w:noProof/>
                <w:sz w:val="20"/>
              </w:rPr>
              <w:t>Assemblée nationale</w:t>
            </w:r>
            <w:r>
              <w:rPr>
                <w:noProof/>
                <w:sz w:val="20"/>
              </w:rPr>
              <w:t xml:space="preserve"> (jedan glas) </w:t>
            </w:r>
          </w:p>
          <w:p>
            <w:pPr>
              <w:spacing w:after="0"/>
              <w:jc w:val="left"/>
              <w:rPr>
                <w:i/>
                <w:iCs/>
                <w:noProof/>
                <w:color w:val="000000"/>
                <w:sz w:val="20"/>
              </w:rPr>
            </w:pPr>
          </w:p>
          <w:p>
            <w:pPr>
              <w:spacing w:after="0"/>
              <w:jc w:val="left"/>
              <w:rPr>
                <w:noProof/>
                <w:sz w:val="20"/>
              </w:rPr>
            </w:pPr>
            <w:r>
              <w:rPr>
                <w:noProof/>
                <w:sz w:val="20"/>
              </w:rPr>
              <w:t xml:space="preserve">francuski </w:t>
            </w:r>
            <w:r>
              <w:rPr>
                <w:i/>
                <w:noProof/>
                <w:sz w:val="20"/>
              </w:rPr>
              <w:t>Sénat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rPr>
            </w:pPr>
            <w:r>
              <w:rPr>
                <w:noProof/>
                <w:color w:val="000000"/>
                <w:sz w:val="20"/>
              </w:rPr>
              <w:t>COM (2016) 864</w:t>
            </w:r>
          </w:p>
        </w:tc>
        <w:tc>
          <w:tcPr>
            <w:tcW w:w="2811" w:type="dxa"/>
            <w:shd w:val="clear" w:color="auto" w:fill="auto"/>
          </w:tcPr>
          <w:p>
            <w:pPr>
              <w:spacing w:after="0"/>
              <w:jc w:val="left"/>
              <w:rPr>
                <w:noProof/>
                <w:color w:val="000000"/>
                <w:sz w:val="20"/>
              </w:rPr>
            </w:pPr>
            <w:r>
              <w:rPr>
                <w:noProof/>
                <w:color w:val="000000"/>
                <w:sz w:val="20"/>
              </w:rPr>
              <w:t>Prijedlog Direktive Europskog parlamenta i Vijeća o</w:t>
            </w:r>
            <w:r>
              <w:rPr>
                <w:b/>
                <w:noProof/>
                <w:color w:val="000000"/>
                <w:sz w:val="20"/>
              </w:rPr>
              <w:t xml:space="preserve"> zajedničkim pravilima za unutarnje tržište električne energije</w:t>
            </w:r>
            <w:r>
              <w:rPr>
                <w:noProof/>
                <w:color w:val="000000"/>
                <w:sz w:val="20"/>
              </w:rPr>
              <w:t xml:space="preserve"> (preinaka)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austrijski </w:t>
            </w:r>
            <w:r>
              <w:rPr>
                <w:i/>
                <w:noProof/>
                <w:sz w:val="20"/>
              </w:rPr>
              <w:t>Bundesrat</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mađarski </w:t>
            </w:r>
            <w:r>
              <w:rPr>
                <w:i/>
                <w:noProof/>
                <w:color w:val="000000"/>
                <w:sz w:val="20"/>
              </w:rPr>
              <w:t>Országgyűlés</w:t>
            </w:r>
            <w:r>
              <w:rPr>
                <w:noProof/>
                <w:sz w:val="20"/>
              </w:rPr>
              <w:t xml:space="preserve"> (dva glasa) </w:t>
            </w:r>
          </w:p>
          <w:p>
            <w:pPr>
              <w:spacing w:after="0"/>
              <w:jc w:val="left"/>
              <w:rPr>
                <w:noProof/>
                <w:sz w:val="20"/>
              </w:rPr>
            </w:pPr>
          </w:p>
          <w:p>
            <w:pPr>
              <w:spacing w:after="0"/>
              <w:jc w:val="left"/>
              <w:rPr>
                <w:noProof/>
                <w:sz w:val="20"/>
              </w:rPr>
            </w:pPr>
            <w:r>
              <w:rPr>
                <w:noProof/>
                <w:sz w:val="20"/>
              </w:rPr>
              <w:t xml:space="preserve">poljski </w:t>
            </w:r>
            <w:r>
              <w:rPr>
                <w:i/>
                <w:noProof/>
                <w:sz w:val="20"/>
              </w:rPr>
              <w:t>Senat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rPr>
            </w:pPr>
            <w:r>
              <w:rPr>
                <w:noProof/>
                <w:color w:val="000000"/>
                <w:sz w:val="20"/>
              </w:rPr>
              <w:t>COM (2016) 863</w:t>
            </w:r>
          </w:p>
        </w:tc>
        <w:tc>
          <w:tcPr>
            <w:tcW w:w="2811" w:type="dxa"/>
            <w:shd w:val="clear" w:color="auto" w:fill="auto"/>
          </w:tcPr>
          <w:p>
            <w:pPr>
              <w:spacing w:after="0"/>
              <w:jc w:val="left"/>
              <w:rPr>
                <w:noProof/>
                <w:color w:val="000000"/>
                <w:sz w:val="20"/>
              </w:rPr>
            </w:pPr>
            <w:r>
              <w:rPr>
                <w:noProof/>
                <w:color w:val="000000"/>
                <w:sz w:val="20"/>
              </w:rPr>
              <w:t>Prijedlog Uredbe Europskog parlamenta i Vijeća o osnivanju</w:t>
            </w:r>
            <w:r>
              <w:rPr>
                <w:b/>
                <w:noProof/>
                <w:color w:val="000000"/>
                <w:sz w:val="20"/>
              </w:rPr>
              <w:t xml:space="preserve"> Agencije Europske unije za suradnju energetskih regulatora</w:t>
            </w:r>
            <w:r>
              <w:rPr>
                <w:noProof/>
                <w:color w:val="000000"/>
                <w:sz w:val="20"/>
              </w:rPr>
              <w:t xml:space="preserve"> (preinaka)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francuski </w:t>
            </w:r>
            <w:r>
              <w:rPr>
                <w:i/>
                <w:noProof/>
                <w:sz w:val="20"/>
              </w:rPr>
              <w:t>Sénat</w:t>
            </w:r>
            <w:r>
              <w:rPr>
                <w:noProof/>
                <w:sz w:val="20"/>
              </w:rPr>
              <w:t xml:space="preserve"> (jedan glas) </w:t>
            </w:r>
          </w:p>
          <w:p>
            <w:pPr>
              <w:spacing w:after="0"/>
              <w:jc w:val="left"/>
              <w:rPr>
                <w:noProof/>
                <w:sz w:val="20"/>
              </w:rPr>
            </w:pPr>
          </w:p>
          <w:p>
            <w:pPr>
              <w:spacing w:after="0"/>
              <w:jc w:val="left"/>
              <w:rPr>
                <w:noProof/>
                <w:sz w:val="20"/>
              </w:rPr>
            </w:pPr>
            <w:r>
              <w:rPr>
                <w:noProof/>
                <w:color w:val="000000"/>
                <w:sz w:val="20"/>
              </w:rPr>
              <w:t xml:space="preserve">rumunjski </w:t>
            </w:r>
            <w:r>
              <w:rPr>
                <w:i/>
                <w:noProof/>
                <w:color w:val="000000"/>
                <w:sz w:val="20"/>
              </w:rPr>
              <w:t>Senatul</w:t>
            </w:r>
            <w:r>
              <w:rPr>
                <w:noProof/>
                <w:color w:val="000000"/>
                <w:sz w:val="20"/>
              </w:rPr>
              <w:t xml:space="preserve"> </w:t>
            </w:r>
            <w:r>
              <w:rPr>
                <w:noProof/>
                <w:sz w:val="20"/>
              </w:rPr>
              <w:t xml:space="preserve">(jedan glas)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rPr>
            </w:pPr>
            <w:r>
              <w:rPr>
                <w:noProof/>
                <w:color w:val="000000"/>
                <w:sz w:val="20"/>
              </w:rPr>
              <w:t>COM (2016) 765</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izmjeni Direktive 2010/31/EU </w:t>
            </w:r>
            <w:r>
              <w:rPr>
                <w:b/>
                <w:noProof/>
                <w:color w:val="000000"/>
                <w:sz w:val="20"/>
              </w:rPr>
              <w:t>o energetskim svojstvima zgrada</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nizozemski </w:t>
            </w:r>
            <w:r>
              <w:rPr>
                <w:i/>
                <w:noProof/>
                <w:color w:val="000000"/>
                <w:sz w:val="20"/>
              </w:rPr>
              <w:t xml:space="preserve">Eerste Kamer </w:t>
            </w:r>
            <w:r>
              <w:rPr>
                <w:noProof/>
                <w:sz w:val="20"/>
              </w:rPr>
              <w:t xml:space="preserve">(jedan glas) </w:t>
            </w:r>
          </w:p>
          <w:p>
            <w:pPr>
              <w:spacing w:after="0"/>
              <w:jc w:val="left"/>
              <w:rPr>
                <w:i/>
                <w:iCs/>
                <w:noProof/>
                <w:color w:val="000000"/>
                <w:sz w:val="20"/>
              </w:rPr>
            </w:pPr>
          </w:p>
          <w:p>
            <w:pPr>
              <w:spacing w:after="0"/>
              <w:jc w:val="left"/>
              <w:rPr>
                <w:noProof/>
                <w:sz w:val="20"/>
              </w:rPr>
            </w:pPr>
            <w:r>
              <w:rPr>
                <w:noProof/>
                <w:sz w:val="20"/>
              </w:rPr>
              <w:t xml:space="preserve">nizozemski </w:t>
            </w:r>
            <w:r>
              <w:rPr>
                <w:i/>
                <w:noProof/>
                <w:sz w:val="20"/>
              </w:rPr>
              <w:t>Tweede Kamer</w:t>
            </w:r>
            <w:r>
              <w:rPr>
                <w:noProof/>
                <w:sz w:val="20"/>
              </w:rPr>
              <w:t xml:space="preserve"> (jedan glas) </w:t>
            </w:r>
          </w:p>
          <w:p>
            <w:pPr>
              <w:spacing w:after="0"/>
              <w:jc w:val="left"/>
              <w:rPr>
                <w:noProof/>
                <w:sz w:val="20"/>
              </w:rPr>
            </w:pPr>
          </w:p>
          <w:p>
            <w:pPr>
              <w:spacing w:after="0"/>
              <w:jc w:val="left"/>
              <w:rPr>
                <w:noProof/>
                <w:sz w:val="20"/>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rPr>
            </w:pPr>
            <w:r>
              <w:rPr>
                <w:noProof/>
                <w:color w:val="000000"/>
                <w:sz w:val="20"/>
              </w:rPr>
              <w:t>COM (2016) 723</w:t>
            </w:r>
          </w:p>
        </w:tc>
        <w:tc>
          <w:tcPr>
            <w:tcW w:w="2811" w:type="dxa"/>
            <w:shd w:val="clear" w:color="auto" w:fill="auto"/>
          </w:tcPr>
          <w:p>
            <w:pPr>
              <w:spacing w:after="0"/>
              <w:jc w:val="left"/>
              <w:rPr>
                <w:noProof/>
                <w:color w:val="000000"/>
                <w:sz w:val="20"/>
              </w:rPr>
            </w:pPr>
            <w:r>
              <w:rPr>
                <w:noProof/>
                <w:color w:val="000000"/>
                <w:sz w:val="20"/>
              </w:rPr>
              <w:t>Prijedlog Direktive Europskog parlamenta i Vijeća o o</w:t>
            </w:r>
            <w:r>
              <w:rPr>
                <w:b/>
                <w:noProof/>
                <w:color w:val="000000"/>
                <w:sz w:val="20"/>
              </w:rPr>
              <w:t>kvirima za preventivno restrukturiranje, pružanju druge prilike i mjerama za povećanje učinkovitosti restrukturiranja i postupaka u pogledu nesolventnosti i razrješenja</w:t>
            </w:r>
            <w:r>
              <w:rPr>
                <w:noProof/>
                <w:color w:val="000000"/>
                <w:sz w:val="20"/>
              </w:rPr>
              <w:t xml:space="preserve"> te izmjeni Direktive 2012/30/EU</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irski </w:t>
            </w:r>
            <w:r>
              <w:rPr>
                <w:i/>
                <w:noProof/>
                <w:color w:val="000000"/>
                <w:sz w:val="20"/>
              </w:rPr>
              <w:t xml:space="preserve">Seanad Éireann </w:t>
            </w:r>
            <w:r>
              <w:rPr>
                <w:noProof/>
                <w:sz w:val="20"/>
              </w:rPr>
              <w:t xml:space="preserve">(jedan glas) </w:t>
            </w:r>
          </w:p>
          <w:p>
            <w:pPr>
              <w:spacing w:after="0"/>
              <w:jc w:val="left"/>
              <w:rPr>
                <w:noProof/>
                <w:sz w:val="20"/>
              </w:rPr>
            </w:pPr>
          </w:p>
          <w:p>
            <w:pPr>
              <w:spacing w:after="0"/>
              <w:jc w:val="left"/>
              <w:rPr>
                <w:noProof/>
                <w:sz w:val="20"/>
              </w:rPr>
            </w:pPr>
            <w:r>
              <w:rPr>
                <w:noProof/>
                <w:sz w:val="20"/>
              </w:rPr>
              <w:t xml:space="preserve">irski </w:t>
            </w:r>
            <w:r>
              <w:rPr>
                <w:i/>
                <w:noProof/>
                <w:color w:val="000000"/>
                <w:sz w:val="20"/>
              </w:rPr>
              <w:t>Dáil</w:t>
            </w:r>
            <w:r>
              <w:rPr>
                <w:noProof/>
                <w:color w:val="000000"/>
                <w:sz w:val="20"/>
              </w:rPr>
              <w:t xml:space="preserve"> </w:t>
            </w:r>
            <w:r>
              <w:rPr>
                <w:i/>
                <w:noProof/>
                <w:color w:val="000000"/>
                <w:sz w:val="20"/>
              </w:rPr>
              <w:t xml:space="preserve">Éireann </w:t>
            </w:r>
            <w:r>
              <w:rPr>
                <w:noProof/>
                <w:sz w:val="20"/>
              </w:rPr>
              <w:t>(jedan glas)</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rPr>
            </w:pPr>
            <w:r>
              <w:rPr>
                <w:noProof/>
                <w:color w:val="000000"/>
                <w:sz w:val="20"/>
              </w:rPr>
              <w:t>COM (2016) 823</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w:t>
            </w:r>
            <w:r>
              <w:rPr>
                <w:b/>
                <w:noProof/>
                <w:color w:val="000000"/>
                <w:sz w:val="20"/>
              </w:rPr>
              <w:t xml:space="preserve">pravnom i operativnom okviru za europsku e-karticu usluga </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austrijski </w:t>
            </w:r>
            <w:r>
              <w:rPr>
                <w:i/>
                <w:noProof/>
                <w:sz w:val="20"/>
              </w:rPr>
              <w:t>Bundesrat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10</w:t>
            </w:r>
          </w:p>
        </w:tc>
        <w:tc>
          <w:tcPr>
            <w:tcW w:w="1977" w:type="dxa"/>
            <w:shd w:val="clear" w:color="auto" w:fill="auto"/>
          </w:tcPr>
          <w:p>
            <w:pPr>
              <w:spacing w:after="0"/>
              <w:jc w:val="left"/>
              <w:rPr>
                <w:noProof/>
                <w:color w:val="000000"/>
                <w:sz w:val="20"/>
              </w:rPr>
            </w:pPr>
            <w:r>
              <w:rPr>
                <w:noProof/>
                <w:color w:val="000000"/>
                <w:sz w:val="20"/>
              </w:rPr>
              <w:t>COM (2016) 824</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w:t>
            </w:r>
            <w:r>
              <w:rPr>
                <w:b/>
                <w:noProof/>
                <w:color w:val="000000"/>
                <w:sz w:val="20"/>
              </w:rPr>
              <w:t>uvođenju europske e-kartice usluga</w:t>
            </w:r>
            <w:r>
              <w:rPr>
                <w:noProof/>
                <w:color w:val="000000"/>
                <w:sz w:val="20"/>
              </w:rPr>
              <w:t xml:space="preserve"> i povezanih administrativnih usluga</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njemački </w:t>
            </w:r>
            <w:r>
              <w:rPr>
                <w:i/>
                <w:noProof/>
                <w:sz w:val="20"/>
              </w:rPr>
              <w:t>Bundestag</w:t>
            </w:r>
            <w:r>
              <w:rPr>
                <w:noProof/>
                <w:sz w:val="20"/>
              </w:rPr>
              <w:t xml:space="preserve"> (jedan glas) </w:t>
            </w:r>
          </w:p>
          <w:p>
            <w:pPr>
              <w:spacing w:after="0"/>
              <w:jc w:val="left"/>
              <w:rPr>
                <w:noProof/>
                <w:sz w:val="20"/>
              </w:rPr>
            </w:pPr>
          </w:p>
          <w:p>
            <w:pPr>
              <w:spacing w:after="0"/>
              <w:jc w:val="left"/>
              <w:rPr>
                <w:noProof/>
                <w:sz w:val="20"/>
              </w:rPr>
            </w:pPr>
            <w:r>
              <w:rPr>
                <w:noProof/>
                <w:sz w:val="20"/>
              </w:rPr>
              <w:t xml:space="preserve">austrijski </w:t>
            </w:r>
            <w:r>
              <w:rPr>
                <w:i/>
                <w:noProof/>
                <w:sz w:val="20"/>
              </w:rPr>
              <w:t>Bundesrat</w:t>
            </w:r>
            <w:r>
              <w:rPr>
                <w:noProof/>
                <w:sz w:val="20"/>
              </w:rPr>
              <w:t xml:space="preserve"> (jedan glas)</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rPr>
            </w:pPr>
            <w:r>
              <w:rPr>
                <w:noProof/>
                <w:color w:val="000000"/>
                <w:sz w:val="20"/>
              </w:rPr>
              <w:t>COM (2017) 647</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izmjeni Uredbe (EZ) br. 1073/2009 o </w:t>
            </w:r>
            <w:r>
              <w:rPr>
                <w:b/>
                <w:noProof/>
                <w:color w:val="000000"/>
                <w:sz w:val="20"/>
              </w:rPr>
              <w:t>zajedničkim pravilima za pristup međunarodnom tržištu usluga prijevoza običnim i turističkim autobusima</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španjolski </w:t>
            </w:r>
            <w:r>
              <w:rPr>
                <w:i/>
                <w:noProof/>
                <w:sz w:val="20"/>
              </w:rPr>
              <w:t>Cortes Generales</w:t>
            </w:r>
            <w:r>
              <w:rPr>
                <w:noProof/>
                <w:sz w:val="20"/>
              </w:rPr>
              <w:t xml:space="preserve"> (dva glasa) </w:t>
            </w:r>
          </w:p>
          <w:p>
            <w:pPr>
              <w:spacing w:after="0"/>
              <w:jc w:val="left"/>
              <w:rPr>
                <w:noProof/>
                <w:sz w:val="20"/>
              </w:rPr>
            </w:pPr>
          </w:p>
          <w:p>
            <w:pPr>
              <w:spacing w:after="0"/>
              <w:jc w:val="left"/>
              <w:rPr>
                <w:noProof/>
                <w:sz w:val="20"/>
              </w:rPr>
            </w:pPr>
            <w:r>
              <w:rPr>
                <w:noProof/>
                <w:sz w:val="20"/>
              </w:rPr>
              <w:t xml:space="preserve">irski </w:t>
            </w:r>
            <w:r>
              <w:rPr>
                <w:i/>
                <w:noProof/>
                <w:sz w:val="20"/>
              </w:rPr>
              <w:t xml:space="preserve">Houses of the </w:t>
            </w:r>
            <w:r>
              <w:rPr>
                <w:noProof/>
                <w:sz w:val="20"/>
              </w:rPr>
              <w:t>Oireachtas (dva glasa)</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rPr>
            </w:pPr>
            <w:r>
              <w:rPr>
                <w:noProof/>
                <w:color w:val="000000"/>
                <w:sz w:val="20"/>
              </w:rPr>
              <w:t>COM (2016) 815</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izmjeni Uredbe (EZ) br. 883/2004 o </w:t>
            </w:r>
            <w:r>
              <w:rPr>
                <w:b/>
                <w:noProof/>
                <w:color w:val="000000"/>
                <w:sz w:val="20"/>
              </w:rPr>
              <w:t>koordinaciji sustava socijalne sigurnosti</w:t>
            </w:r>
            <w:r>
              <w:rPr>
                <w:noProof/>
                <w:color w:val="000000"/>
                <w:sz w:val="20"/>
              </w:rPr>
              <w:t xml:space="preserve"> i Uredbe (EZ) br. 987/2009 o utvrđivanju postupka provedbe Uredbe (EZ) br. 883/2004</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shd w:val="clear" w:color="auto" w:fill="auto"/>
          </w:tcPr>
          <w:p>
            <w:pPr>
              <w:spacing w:after="0"/>
              <w:jc w:val="left"/>
              <w:rPr>
                <w:noProof/>
                <w:sz w:val="20"/>
              </w:rPr>
            </w:pPr>
            <w:r>
              <w:rPr>
                <w:noProof/>
                <w:sz w:val="20"/>
              </w:rPr>
              <w:t xml:space="preserve">francuski </w:t>
            </w:r>
            <w:r>
              <w:rPr>
                <w:i/>
                <w:noProof/>
                <w:sz w:val="20"/>
              </w:rPr>
              <w:t>Sénat</w:t>
            </w:r>
            <w:r>
              <w:rPr>
                <w:noProof/>
                <w:sz w:val="20"/>
              </w:rPr>
              <w:t xml:space="preserve"> (jedan glas)</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rPr>
            </w:pPr>
            <w:r>
              <w:rPr>
                <w:noProof/>
                <w:color w:val="000000"/>
                <w:sz w:val="20"/>
              </w:rPr>
              <w:t>COM (2017) 275</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izmjeni Direktive 1999/62/EZ o </w:t>
            </w:r>
            <w:r>
              <w:rPr>
                <w:b/>
                <w:noProof/>
                <w:color w:val="000000"/>
                <w:sz w:val="20"/>
              </w:rPr>
              <w:t>naknadama koje se naplaćuju za korištenje određenih infrastruktura za teška teretna vozila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austrijski </w:t>
            </w:r>
            <w:r>
              <w:rPr>
                <w:i/>
                <w:noProof/>
                <w:sz w:val="20"/>
              </w:rPr>
              <w:t>Bundesrat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rPr>
            </w:pPr>
            <w:r>
              <w:rPr>
                <w:noProof/>
                <w:color w:val="000000"/>
                <w:sz w:val="20"/>
              </w:rPr>
              <w:t>COM (2017) 278</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izmjeni Direktive 2006/22/EZ u vezi sa </w:t>
            </w:r>
            <w:r>
              <w:rPr>
                <w:b/>
                <w:noProof/>
                <w:color w:val="000000"/>
                <w:sz w:val="20"/>
              </w:rPr>
              <w:t>zahtjevima za provedbu</w:t>
            </w:r>
            <w:r>
              <w:rPr>
                <w:noProof/>
                <w:color w:val="000000"/>
                <w:sz w:val="20"/>
              </w:rPr>
              <w:t xml:space="preserve"> i o utvrđivanju posebnih pravila u pogledu Direktive 96/71/EZ i Direktive 2014/67/EU za </w:t>
            </w:r>
            <w:r>
              <w:rPr>
                <w:b/>
                <w:noProof/>
                <w:color w:val="000000"/>
                <w:sz w:val="20"/>
              </w:rPr>
              <w:t>upućivanje vozača u sektoru cestovnog prometa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poljski </w:t>
            </w:r>
            <w:r>
              <w:rPr>
                <w:i/>
                <w:noProof/>
                <w:sz w:val="20"/>
              </w:rPr>
              <w:t>Senat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rPr>
            </w:pPr>
            <w:r>
              <w:rPr>
                <w:noProof/>
                <w:color w:val="000000"/>
                <w:sz w:val="20"/>
              </w:rPr>
              <w:t>COM (2016) 750</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w:t>
            </w:r>
            <w:r>
              <w:rPr>
                <w:b/>
                <w:noProof/>
                <w:color w:val="000000"/>
                <w:sz w:val="20"/>
              </w:rPr>
              <w:t>definiciji, prezentiranju i označivanju jakih alkoholnih pića, upotrebi naziva jakih alkoholnih pića u prezentiranju i označivanju drugih prehrambenih proizvoda te zaštiti oznaka zemljopisnog podrijetla za jaka alkoholna pića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talijanski</w:t>
            </w:r>
            <w:r>
              <w:rPr>
                <w:i/>
                <w:noProof/>
                <w:sz w:val="20"/>
              </w:rPr>
              <w:t xml:space="preserve"> Senato della Repubblica</w:t>
            </w:r>
            <w:r>
              <w:rPr>
                <w:i/>
                <w:iCs/>
                <w:noProof/>
                <w:color w:val="000000"/>
                <w:sz w:val="20"/>
              </w:rPr>
              <w:br/>
            </w:r>
            <w:r>
              <w:rPr>
                <w:noProof/>
                <w:sz w:val="20"/>
              </w:rPr>
              <w:t xml:space="preserve">(jedan glas)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rPr>
            </w:pPr>
            <w:r>
              <w:rPr>
                <w:noProof/>
                <w:color w:val="000000"/>
                <w:sz w:val="20"/>
              </w:rPr>
              <w:t>COM (2017) 477</w:t>
            </w:r>
          </w:p>
        </w:tc>
        <w:tc>
          <w:tcPr>
            <w:tcW w:w="2811" w:type="dxa"/>
            <w:shd w:val="clear" w:color="auto" w:fill="auto"/>
          </w:tcPr>
          <w:p>
            <w:pPr>
              <w:spacing w:after="0"/>
              <w:jc w:val="left"/>
              <w:rPr>
                <w:noProof/>
                <w:color w:val="000000"/>
                <w:sz w:val="20"/>
              </w:rPr>
            </w:pPr>
            <w:r>
              <w:rPr>
                <w:noProof/>
                <w:color w:val="000000"/>
                <w:sz w:val="20"/>
              </w:rPr>
              <w:t>Prijedlog Uredbe Europskog parlamenta i Vijeća o ENISA-i (</w:t>
            </w:r>
            <w:r>
              <w:rPr>
                <w:b/>
                <w:noProof/>
                <w:color w:val="000000"/>
                <w:sz w:val="20"/>
              </w:rPr>
              <w:t>agenciji EU-a za kibersigurnost</w:t>
            </w:r>
            <w:r>
              <w:rPr>
                <w:noProof/>
                <w:color w:val="000000"/>
                <w:sz w:val="20"/>
              </w:rPr>
              <w:t>) i stavljanju izvan snage Uredbe (EU) 526/2013 te o sigurnosnoj certifikaciji u području informacijske i komunikacijske tehnologije (</w:t>
            </w:r>
            <w:r>
              <w:rPr>
                <w:b/>
                <w:noProof/>
                <w:color w:val="000000"/>
                <w:sz w:val="20"/>
              </w:rPr>
              <w:t>„Akt o kibersigurnosti”</w:t>
            </w:r>
            <w:r>
              <w:rPr>
                <w:noProof/>
                <w:color w:val="000000"/>
                <w:sz w:val="20"/>
              </w:rPr>
              <w:t xml:space="preserve">) </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francuski </w:t>
            </w:r>
            <w:r>
              <w:rPr>
                <w:i/>
                <w:noProof/>
                <w:sz w:val="20"/>
              </w:rPr>
              <w:t>Sénat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rPr>
            </w:pPr>
            <w:r>
              <w:rPr>
                <w:noProof/>
                <w:color w:val="000000"/>
                <w:sz w:val="20"/>
              </w:rPr>
              <w:t>COM (2017) 495</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w:t>
            </w:r>
            <w:r>
              <w:rPr>
                <w:b/>
                <w:noProof/>
                <w:color w:val="000000"/>
                <w:sz w:val="20"/>
              </w:rPr>
              <w:t>okviru za slobodan protok neosobnih podataka u Europskoj uniji</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francuski </w:t>
            </w:r>
            <w:r>
              <w:rPr>
                <w:i/>
                <w:noProof/>
                <w:sz w:val="20"/>
              </w:rPr>
              <w:t>Sénat</w:t>
            </w:r>
            <w:r>
              <w:rPr>
                <w:noProof/>
                <w:sz w:val="20"/>
              </w:rPr>
              <w:t xml:space="preserve"> (jedan glas)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rPr>
            </w:pPr>
            <w:r>
              <w:rPr>
                <w:noProof/>
                <w:color w:val="000000"/>
                <w:sz w:val="20"/>
              </w:rPr>
              <w:t>COM (2016) 850</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izmjeni Uredbe (EU) br. 575/2013 u pogledu </w:t>
            </w:r>
            <w:r>
              <w:rPr>
                <w:b/>
                <w:noProof/>
                <w:color w:val="000000"/>
                <w:sz w:val="20"/>
              </w:rPr>
              <w:t>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w:t>
            </w:r>
            <w:r>
              <w:rPr>
                <w:noProof/>
                <w:color w:val="000000"/>
                <w:sz w:val="20"/>
              </w:rPr>
              <w:t xml:space="preserve"> i o izmjeni Uredbe (EU) br. 648/2012</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švedski </w:t>
            </w:r>
            <w:r>
              <w:rPr>
                <w:i/>
                <w:noProof/>
                <w:sz w:val="20"/>
              </w:rPr>
              <w:t>Riksdag</w:t>
            </w:r>
            <w:r>
              <w:rPr>
                <w:noProof/>
                <w:sz w:val="20"/>
              </w:rPr>
              <w:t xml:space="preserve"> (dva glasa)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rPr>
            </w:pPr>
            <w:r>
              <w:rPr>
                <w:noProof/>
                <w:color w:val="000000"/>
                <w:sz w:val="20"/>
              </w:rPr>
              <w:t>COM (2016) 854</w:t>
            </w:r>
          </w:p>
        </w:tc>
        <w:tc>
          <w:tcPr>
            <w:tcW w:w="2811" w:type="dxa"/>
            <w:shd w:val="clear" w:color="auto" w:fill="auto"/>
          </w:tcPr>
          <w:p>
            <w:pPr>
              <w:spacing w:after="0"/>
              <w:jc w:val="left"/>
              <w:rPr>
                <w:noProof/>
                <w:color w:val="000000"/>
                <w:sz w:val="20"/>
              </w:rPr>
            </w:pPr>
            <w:r>
              <w:rPr>
                <w:noProof/>
                <w:color w:val="000000"/>
                <w:sz w:val="20"/>
              </w:rPr>
              <w:t xml:space="preserve">Prijedlog Direktive Europskog parlamenta i Vijeća o izmjeni Direktive 2013/36/EU u pogledu </w:t>
            </w:r>
            <w:r>
              <w:rPr>
                <w:b/>
                <w:noProof/>
                <w:color w:val="000000"/>
                <w:sz w:val="20"/>
              </w:rPr>
              <w:t>izuzetih subjekata, financijskih holdinga, mješovitih financijskih holdinga, primitaka, nadzornih mjera i ovlasti te mjera za očuvanje kapitala</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shd w:val="clear" w:color="auto" w:fill="auto"/>
          </w:tcPr>
          <w:p>
            <w:pPr>
              <w:spacing w:after="0"/>
              <w:jc w:val="left"/>
              <w:rPr>
                <w:noProof/>
                <w:sz w:val="20"/>
              </w:rPr>
            </w:pPr>
            <w:r>
              <w:rPr>
                <w:noProof/>
                <w:sz w:val="20"/>
              </w:rPr>
              <w:t xml:space="preserve">švedski </w:t>
            </w:r>
            <w:r>
              <w:rPr>
                <w:i/>
                <w:noProof/>
                <w:sz w:val="20"/>
              </w:rPr>
              <w:t>Riksdag</w:t>
            </w:r>
            <w:r>
              <w:rPr>
                <w:noProof/>
                <w:sz w:val="20"/>
              </w:rPr>
              <w:t xml:space="preserve"> (dva glasa)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rPr>
            </w:pPr>
            <w:r>
              <w:rPr>
                <w:noProof/>
                <w:color w:val="000000"/>
                <w:sz w:val="20"/>
              </w:rPr>
              <w:t>COM (2017) 331</w:t>
            </w:r>
          </w:p>
        </w:tc>
        <w:tc>
          <w:tcPr>
            <w:tcW w:w="2811" w:type="dxa"/>
            <w:shd w:val="clear" w:color="auto" w:fill="auto"/>
          </w:tcPr>
          <w:p>
            <w:pPr>
              <w:spacing w:after="0"/>
              <w:jc w:val="left"/>
              <w:rPr>
                <w:noProof/>
                <w:color w:val="000000"/>
                <w:sz w:val="20"/>
              </w:rPr>
            </w:pPr>
            <w:r>
              <w:rPr>
                <w:noProof/>
                <w:color w:val="000000"/>
                <w:sz w:val="20"/>
              </w:rPr>
              <w:t xml:space="preserve">Prijedlog Uredbe Europskog parlamenta i Vijeća o izmjeni Uredbe (EU) br. 1095/2010 o osnivanju europskog nadzornog tijela (Europskog nadzornog tijela za vrijednosne papire i tržišta kapitala) i izmjeni Uredbe (EU) br. 648/2012 u pogledu </w:t>
            </w:r>
            <w:r>
              <w:rPr>
                <w:b/>
                <w:noProof/>
                <w:color w:val="000000"/>
                <w:sz w:val="20"/>
              </w:rPr>
              <w:t>postupaka i tijela uključenih u izdavanje odobrenja za rad središnjim drugim ugovornim stranama i zahtjeva za priznavanje središnjih drugih ugovornih strana trećih zemalja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švedski </w:t>
            </w:r>
            <w:r>
              <w:rPr>
                <w:i/>
                <w:noProof/>
                <w:sz w:val="20"/>
              </w:rPr>
              <w:t>Riksdag</w:t>
            </w:r>
            <w:r>
              <w:rPr>
                <w:noProof/>
                <w:sz w:val="20"/>
              </w:rPr>
              <w:t xml:space="preserve"> (dva glasa)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rPr>
            </w:pPr>
            <w:r>
              <w:rPr>
                <w:noProof/>
                <w:color w:val="000000"/>
                <w:sz w:val="20"/>
              </w:rPr>
              <w:t>COM (2017) 536</w:t>
            </w:r>
          </w:p>
        </w:tc>
        <w:tc>
          <w:tcPr>
            <w:tcW w:w="2811" w:type="dxa"/>
            <w:shd w:val="clear" w:color="auto" w:fill="auto"/>
          </w:tcPr>
          <w:p>
            <w:pPr>
              <w:spacing w:after="0"/>
              <w:jc w:val="left"/>
              <w:rPr>
                <w:b/>
                <w:bCs/>
                <w:noProof/>
                <w:color w:val="000000"/>
                <w:sz w:val="20"/>
              </w:rPr>
            </w:pPr>
            <w:r>
              <w:rPr>
                <w:noProof/>
                <w:color w:val="000000"/>
                <w:sz w:val="20"/>
              </w:rPr>
              <w:t xml:space="preserve">Prijedlog Uredbe Europskog parlamenta i Vijeća o izmjeni Uredbe (EU) br. 1093/2010, Uredbe (EU) br. 1094/2010, Uredbe (EU) br. 1095/2010, Uredbe (EU) br. 345/2013, Uredbe (EU) br. 346/2013, Uredbe (EU) br. 600/2014, Uredbe (EU) 2015/760, Uredbe (EU) 2016/1011 i Uredbe (EU) 2017/1129 (prijedlozi o </w:t>
            </w:r>
            <w:r>
              <w:rPr>
                <w:b/>
                <w:noProof/>
                <w:color w:val="000000"/>
                <w:sz w:val="20"/>
              </w:rPr>
              <w:t>jačanju reforme</w:t>
            </w:r>
          </w:p>
          <w:p>
            <w:pPr>
              <w:spacing w:after="0"/>
              <w:jc w:val="left"/>
              <w:rPr>
                <w:noProof/>
                <w:color w:val="000000"/>
                <w:sz w:val="20"/>
              </w:rPr>
            </w:pPr>
            <w:r>
              <w:rPr>
                <w:b/>
                <w:noProof/>
                <w:color w:val="000000"/>
                <w:sz w:val="20"/>
              </w:rPr>
              <w:t>nadzorne arhitekture Europske unije</w:t>
            </w:r>
            <w:r>
              <w:rPr>
                <w:noProof/>
                <w:color w:val="000000"/>
                <w:sz w:val="20"/>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švedski </w:t>
            </w:r>
            <w:r>
              <w:rPr>
                <w:i/>
                <w:noProof/>
                <w:sz w:val="20"/>
              </w:rPr>
              <w:t>Riksdag</w:t>
            </w:r>
            <w:r>
              <w:rPr>
                <w:noProof/>
                <w:sz w:val="20"/>
              </w:rPr>
              <w:t xml:space="preserve"> (dva glasa)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rPr>
            </w:pPr>
            <w:r>
              <w:rPr>
                <w:noProof/>
                <w:color w:val="000000"/>
                <w:sz w:val="20"/>
              </w:rPr>
              <w:t>COM (2016) 683</w:t>
            </w:r>
          </w:p>
        </w:tc>
        <w:tc>
          <w:tcPr>
            <w:tcW w:w="2811" w:type="dxa"/>
            <w:shd w:val="clear" w:color="auto" w:fill="auto"/>
          </w:tcPr>
          <w:p>
            <w:pPr>
              <w:spacing w:after="0"/>
              <w:jc w:val="left"/>
              <w:rPr>
                <w:noProof/>
                <w:color w:val="000000"/>
                <w:sz w:val="20"/>
              </w:rPr>
            </w:pPr>
            <w:r>
              <w:rPr>
                <w:noProof/>
                <w:color w:val="000000"/>
                <w:sz w:val="20"/>
              </w:rPr>
              <w:t>Prijedlog Direktive Vijeća o</w:t>
            </w:r>
            <w:r>
              <w:rPr>
                <w:b/>
                <w:noProof/>
                <w:color w:val="000000"/>
                <w:sz w:val="20"/>
              </w:rPr>
              <w:t xml:space="preserve"> o zajedničkoj konsolidiranoj osnovici poreza na dobit</w:t>
            </w:r>
            <w:r>
              <w:rPr>
                <w:noProof/>
                <w:color w:val="000000"/>
                <w:sz w:val="20"/>
              </w:rPr>
              <w:t xml:space="preserve"> </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House of Commons Ujedinjene Kraljevine (jedan glas)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rPr>
            </w:pPr>
            <w:r>
              <w:rPr>
                <w:noProof/>
                <w:color w:val="000000"/>
                <w:sz w:val="20"/>
              </w:rPr>
              <w:t>COM (2016) 685</w:t>
            </w:r>
          </w:p>
        </w:tc>
        <w:tc>
          <w:tcPr>
            <w:tcW w:w="2811" w:type="dxa"/>
            <w:shd w:val="clear" w:color="auto" w:fill="auto"/>
          </w:tcPr>
          <w:p>
            <w:pPr>
              <w:spacing w:after="0"/>
              <w:jc w:val="left"/>
              <w:rPr>
                <w:noProof/>
                <w:color w:val="000000"/>
                <w:sz w:val="20"/>
              </w:rPr>
            </w:pPr>
            <w:r>
              <w:rPr>
                <w:noProof/>
                <w:color w:val="000000"/>
                <w:sz w:val="20"/>
              </w:rPr>
              <w:t xml:space="preserve">Prijedlog Direktive Vijeća </w:t>
            </w:r>
            <w:r>
              <w:rPr>
                <w:b/>
                <w:noProof/>
                <w:color w:val="000000"/>
                <w:sz w:val="20"/>
              </w:rPr>
              <w:t>o zajedničkoj osnovici poreza na dobit</w:t>
            </w:r>
          </w:p>
        </w:tc>
        <w:tc>
          <w:tcPr>
            <w:tcW w:w="1207" w:type="dxa"/>
            <w:tcBorders>
              <w:bottom w:val="single" w:sz="4" w:space="0" w:color="auto"/>
            </w:tcBorders>
            <w:shd w:val="clear" w:color="auto" w:fill="auto"/>
          </w:tcPr>
          <w:p>
            <w:pPr>
              <w:spacing w:after="0"/>
              <w:jc w:val="center"/>
              <w:rPr>
                <w:noProof/>
                <w:sz w:val="20"/>
              </w:rPr>
            </w:pPr>
            <w:r>
              <w:rPr>
                <w:noProof/>
                <w:sz w:val="20"/>
              </w:rPr>
              <w:t>1</w:t>
            </w:r>
          </w:p>
        </w:tc>
        <w:tc>
          <w:tcPr>
            <w:tcW w:w="1157" w:type="dxa"/>
            <w:tcBorders>
              <w:bottom w:val="single" w:sz="4" w:space="0" w:color="auto"/>
            </w:tcBorders>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House of Commons Ujedinjene Kraljevine (jedan glas) </w:t>
            </w:r>
          </w:p>
        </w:tc>
      </w:tr>
      <w:tr>
        <w:trPr>
          <w:cantSplit/>
        </w:trPr>
        <w:tc>
          <w:tcPr>
            <w:tcW w:w="5202" w:type="dxa"/>
            <w:gridSpan w:val="3"/>
            <w:shd w:val="clear" w:color="auto" w:fill="auto"/>
          </w:tcPr>
          <w:p>
            <w:pPr>
              <w:spacing w:after="0"/>
              <w:jc w:val="left"/>
              <w:rPr>
                <w:noProof/>
                <w:color w:val="000000"/>
                <w:sz w:val="20"/>
              </w:rPr>
            </w:pPr>
            <w:r>
              <w:rPr>
                <w:b/>
                <w:noProof/>
                <w:sz w:val="20"/>
              </w:rPr>
              <w:t>UKUPAN broj zaprimljenih obrazloženih mišljenja</w:t>
            </w:r>
          </w:p>
        </w:tc>
        <w:tc>
          <w:tcPr>
            <w:tcW w:w="1207" w:type="dxa"/>
            <w:tcBorders>
              <w:right w:val="nil"/>
            </w:tcBorders>
            <w:shd w:val="clear" w:color="auto" w:fill="auto"/>
          </w:tcPr>
          <w:p>
            <w:pPr>
              <w:spacing w:after="0"/>
              <w:jc w:val="center"/>
              <w:rPr>
                <w:b/>
                <w:noProof/>
                <w:sz w:val="20"/>
              </w:rPr>
            </w:pPr>
            <w:r>
              <w:rPr>
                <w:b/>
                <w:noProof/>
                <w:sz w:val="20"/>
              </w:rPr>
              <w:t>52</w:t>
            </w:r>
          </w:p>
        </w:tc>
        <w:tc>
          <w:tcPr>
            <w:tcW w:w="1157" w:type="dxa"/>
            <w:tcBorders>
              <w:left w:val="nil"/>
              <w:right w:val="nil"/>
            </w:tcBorders>
            <w:shd w:val="clear" w:color="auto" w:fill="auto"/>
          </w:tcPr>
          <w:p>
            <w:pPr>
              <w:spacing w:after="0"/>
              <w:jc w:val="center"/>
              <w:rPr>
                <w:noProof/>
                <w:sz w:val="20"/>
              </w:rPr>
            </w:pPr>
          </w:p>
        </w:tc>
        <w:tc>
          <w:tcPr>
            <w:tcW w:w="302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Da bi se moglo nazvati obrazloženim mišljenjem u skladu s definicijom iz Protokola br. 2., u mišljenju mora biti navedeno zašto nacionalni parlament smatra da zakonodavni prijedlog nije u skladu s načelom supsidijarnosti i ono mora biti poslano Komisiji u roku od osam tjedana od prenošenja zakonodavnog prijedloga nacionalnim parlamentima.</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U skladu s Protokolom br. 2 svaki nacionalni parlament ima dva glasa, a u slučaju dvodomnog sustava, svaki dom ima jedan glas. Kad obrazložena mišljenja čine najmanje jednu trećinu (za prijedloge u skladu s člankom 76. Ugovora o funkcioniranju Europske unije jednu četvrtinu) svih glasova koji su dodijeljeni nacionalnim parlamentima, postignut je takozvani prag „žutog kartona” i nacrt zakonodavnog akta mora se preispitati. Trećinu svih dodijeljenih glasova čini 19 od 56 glasova.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ANNEX_NBR_FIRST" w:val="1"/>
    <w:docVar w:name="LW_ANNEX_NBR_LAST" w:val="1"/>
    <w:docVar w:name="LW_ANNEX_UNIQUE" w:val="1"/>
    <w:docVar w:name="LW_CORRIGENDUM" w:val="&lt;UNUSED&gt;"/>
    <w:docVar w:name="LW_COVERPAGE_EXISTS" w:val="True"/>
    <w:docVar w:name="LW_COVERPAGE_GUID" w:val="9E983D00-A7D1-4FF1-A526-C9E24FCD13D1"/>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xelles, "/>
    <w:docVar w:name="LW_EMISSION_SUFFIX" w:val="&lt;EMPTY&gt;"/>
    <w:docVar w:name="LW_ID_DOCTYPE_NONLW" w:val="CP-039"/>
    <w:docVar w:name="LW_LANGUE" w:val="HR"/>
    <w:docVar w:name="LW_LEVEL_OF_SENSITIVITY" w:val="Standard treatment"/>
    <w:docVar w:name="LW_NOM.INST" w:val="EUROPSKA KOMISIJA"/>
    <w:docVar w:name="LW_NOM.INST_JOINTDOC" w:val="&lt;EMPTY&gt;"/>
    <w:docVar w:name="LW_OBJETACTEPRINCIPAL.CP" w:val="GODI\u352?NJE IZVJE\u352?\u262?E ZA 2017._x000b_O PRIMJENI NA\u268?ELA SUPSIDIJARNOSTI I PROPORCIONALNOSTI_x000b_"/>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_x000b_"/>
    <w:docVar w:name="LW_TYPEACTEPRINCIPAL.CP" w:val="IZVJE\u352?\u262?U KOMISIJ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hr-HR"/>
    </w:rPr>
  </w:style>
  <w:style w:type="character" w:customStyle="1" w:styleId="HeaderChar">
    <w:name w:val="Header Char"/>
    <w:basedOn w:val="DefaultParagraphFont"/>
    <w:link w:val="Header"/>
    <w:uiPriority w:val="99"/>
    <w:rPr>
      <w:sz w:val="24"/>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hr-HR"/>
    </w:rPr>
  </w:style>
  <w:style w:type="character" w:styleId="FootnoteReference">
    <w:name w:val="footnote reference"/>
    <w:uiPriority w:val="99"/>
    <w:semiHidden/>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hr-HR"/>
    </w:rPr>
  </w:style>
  <w:style w:type="character" w:customStyle="1" w:styleId="HeaderChar">
    <w:name w:val="Header Char"/>
    <w:basedOn w:val="DefaultParagraphFont"/>
    <w:link w:val="Header"/>
    <w:uiPriority w:val="99"/>
    <w:rPr>
      <w:sz w:val="24"/>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hr-HR"/>
    </w:rPr>
  </w:style>
  <w:style w:type="character" w:styleId="FootnoteReference">
    <w:name w:val="footnote reference"/>
    <w:uiPriority w:val="99"/>
    <w:semiHidden/>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C5F7B91-AF2B-4778-AC25-05BCD0DA553B}">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FD100039-0FCC-476C-9215-23B3C1092BF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1054</Words>
  <Characters>6393</Characters>
  <Application>Microsoft Office Word</Application>
  <DocSecurity>0</DocSecurity>
  <PresentationFormat>Microsoft Word 14.0</PresentationFormat>
  <Lines>399</Lines>
  <Paragraphs>206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11</cp:revision>
  <dcterms:created xsi:type="dcterms:W3CDTF">2018-08-29T12:16:00Z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