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66B0834-26E9-43BB-A08A-3FDE9AFE429F" style="width:450.75pt;height:379.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autoSpaceDE w:val="0"/>
        <w:autoSpaceDN w:val="0"/>
        <w:adjustRightInd w:val="0"/>
        <w:jc w:val="center"/>
        <w:rPr>
          <w:b/>
          <w:noProof/>
          <w:szCs w:val="24"/>
        </w:rPr>
      </w:pPr>
      <w:bookmarkStart w:id="1" w:name="_GoBack"/>
      <w:bookmarkEnd w:id="1"/>
      <w:r>
        <w:rPr>
          <w:b/>
          <w:noProof/>
        </w:rPr>
        <w:lastRenderedPageBreak/>
        <w:t>Seznam dokumentov Komisije,</w:t>
      </w:r>
      <w:r>
        <w:rPr>
          <w:b/>
          <w:noProof/>
          <w:szCs w:val="24"/>
        </w:rPr>
        <w:br/>
      </w:r>
      <w:r>
        <w:rPr>
          <w:b/>
          <w:noProof/>
        </w:rPr>
        <w:t>v zvezi s katerimi je Komisija leta 2017 prejela obrazložena mnenja</w:t>
      </w:r>
      <w:r>
        <w:rPr>
          <w:b/>
          <w:noProof/>
          <w:vertAlign w:val="superscript"/>
        </w:rPr>
        <w:footnoteReference w:id="1"/>
      </w:r>
      <w:r>
        <w:rPr>
          <w:b/>
          <w:noProof/>
        </w:rPr>
        <w:t xml:space="preserve"> </w:t>
      </w:r>
      <w:r>
        <w:rPr>
          <w:b/>
          <w:noProof/>
          <w:szCs w:val="24"/>
        </w:rPr>
        <w:br/>
      </w:r>
      <w:r>
        <w:rPr>
          <w:b/>
          <w:noProof/>
        </w:rPr>
        <w:t>nacionalnih parlamentov glede skladnosti z načelom subsidiarnosti</w:t>
      </w: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811"/>
        <w:gridCol w:w="1207"/>
        <w:gridCol w:w="1157"/>
        <w:gridCol w:w="3022"/>
      </w:tblGrid>
      <w:tr>
        <w:trPr>
          <w:cantSplit/>
          <w:tblHeader/>
        </w:trPr>
        <w:tc>
          <w:tcPr>
            <w:tcW w:w="414" w:type="dxa"/>
            <w:tcBorders>
              <w:top w:val="nil"/>
              <w:left w:val="nil"/>
            </w:tcBorders>
            <w:shd w:val="clear" w:color="auto" w:fill="auto"/>
            <w:vAlign w:val="center"/>
          </w:tcPr>
          <w:p>
            <w:pPr>
              <w:spacing w:after="0"/>
              <w:jc w:val="center"/>
              <w:rPr>
                <w:noProof/>
                <w:sz w:val="20"/>
              </w:rPr>
            </w:pPr>
          </w:p>
        </w:tc>
        <w:tc>
          <w:tcPr>
            <w:tcW w:w="1977" w:type="dxa"/>
            <w:shd w:val="clear" w:color="auto" w:fill="auto"/>
            <w:vAlign w:val="center"/>
          </w:tcPr>
          <w:p>
            <w:pPr>
              <w:spacing w:after="0"/>
              <w:jc w:val="center"/>
              <w:rPr>
                <w:b/>
                <w:noProof/>
                <w:sz w:val="20"/>
              </w:rPr>
            </w:pPr>
            <w:r>
              <w:rPr>
                <w:b/>
                <w:noProof/>
                <w:sz w:val="20"/>
              </w:rPr>
              <w:t>Dokument</w:t>
            </w:r>
            <w:r>
              <w:rPr>
                <w:b/>
                <w:noProof/>
                <w:sz w:val="20"/>
              </w:rPr>
              <w:br/>
              <w:t>Komisije</w:t>
            </w:r>
          </w:p>
        </w:tc>
        <w:tc>
          <w:tcPr>
            <w:tcW w:w="2811" w:type="dxa"/>
            <w:shd w:val="clear" w:color="auto" w:fill="auto"/>
            <w:vAlign w:val="center"/>
          </w:tcPr>
          <w:p>
            <w:pPr>
              <w:spacing w:after="0"/>
              <w:jc w:val="center"/>
              <w:rPr>
                <w:noProof/>
                <w:sz w:val="20"/>
              </w:rPr>
            </w:pPr>
            <w:r>
              <w:rPr>
                <w:b/>
                <w:noProof/>
                <w:sz w:val="20"/>
              </w:rPr>
              <w:t>Naslov</w:t>
            </w:r>
          </w:p>
        </w:tc>
        <w:tc>
          <w:tcPr>
            <w:tcW w:w="1207" w:type="dxa"/>
            <w:shd w:val="clear" w:color="auto" w:fill="auto"/>
            <w:vAlign w:val="center"/>
          </w:tcPr>
          <w:p>
            <w:pPr>
              <w:spacing w:after="0"/>
              <w:jc w:val="center"/>
              <w:rPr>
                <w:b/>
                <w:noProof/>
                <w:sz w:val="20"/>
              </w:rPr>
            </w:pPr>
            <w:r>
              <w:rPr>
                <w:b/>
                <w:noProof/>
                <w:sz w:val="20"/>
              </w:rPr>
              <w:t>Število</w:t>
            </w:r>
            <w:r>
              <w:rPr>
                <w:b/>
                <w:noProof/>
                <w:sz w:val="20"/>
              </w:rPr>
              <w:br/>
              <w:t>obrazloženih</w:t>
            </w:r>
            <w:r>
              <w:rPr>
                <w:b/>
                <w:noProof/>
                <w:sz w:val="20"/>
              </w:rPr>
              <w:br/>
              <w:t>mnenj</w:t>
            </w:r>
            <w:r>
              <w:rPr>
                <w:b/>
                <w:noProof/>
                <w:sz w:val="20"/>
              </w:rPr>
              <w:br/>
              <w:t>(Protokol</w:t>
            </w:r>
            <w:r>
              <w:rPr>
                <w:b/>
                <w:noProof/>
                <w:sz w:val="20"/>
              </w:rPr>
              <w:br/>
              <w:t>št. 2)</w:t>
            </w:r>
          </w:p>
        </w:tc>
        <w:tc>
          <w:tcPr>
            <w:tcW w:w="1157" w:type="dxa"/>
            <w:shd w:val="clear" w:color="auto" w:fill="auto"/>
            <w:vAlign w:val="center"/>
          </w:tcPr>
          <w:p>
            <w:pPr>
              <w:spacing w:after="0"/>
              <w:jc w:val="center"/>
              <w:rPr>
                <w:noProof/>
                <w:sz w:val="20"/>
              </w:rPr>
            </w:pPr>
            <w:r>
              <w:rPr>
                <w:b/>
                <w:noProof/>
                <w:sz w:val="20"/>
              </w:rPr>
              <w:t>Število</w:t>
            </w:r>
            <w:r>
              <w:rPr>
                <w:b/>
                <w:noProof/>
                <w:sz w:val="20"/>
              </w:rPr>
              <w:br/>
              <w:t>glasov</w:t>
            </w:r>
            <w:r>
              <w:rPr>
                <w:b/>
                <w:noProof/>
                <w:sz w:val="20"/>
              </w:rPr>
              <w:br/>
              <w:t>(Protokol</w:t>
            </w:r>
            <w:r>
              <w:rPr>
                <w:b/>
                <w:noProof/>
                <w:sz w:val="20"/>
              </w:rPr>
              <w:br/>
              <w:t>št. 2)</w:t>
            </w:r>
            <w:r>
              <w:rPr>
                <w:noProof/>
                <w:sz w:val="20"/>
                <w:vertAlign w:val="superscript"/>
              </w:rPr>
              <w:footnoteReference w:id="2"/>
            </w:r>
          </w:p>
        </w:tc>
        <w:tc>
          <w:tcPr>
            <w:tcW w:w="3022" w:type="dxa"/>
            <w:shd w:val="clear" w:color="auto" w:fill="auto"/>
            <w:vAlign w:val="center"/>
          </w:tcPr>
          <w:p>
            <w:pPr>
              <w:spacing w:after="0"/>
              <w:jc w:val="center"/>
              <w:rPr>
                <w:noProof/>
                <w:sz w:val="20"/>
              </w:rPr>
            </w:pPr>
            <w:r>
              <w:rPr>
                <w:b/>
                <w:noProof/>
                <w:sz w:val="20"/>
              </w:rPr>
              <w:t>Nacionalni parlamentarni domovi,</w:t>
            </w:r>
            <w:r>
              <w:rPr>
                <w:b/>
                <w:noProof/>
                <w:sz w:val="20"/>
              </w:rPr>
              <w:br/>
              <w:t>ki so predložili</w:t>
            </w:r>
            <w:r>
              <w:rPr>
                <w:b/>
                <w:noProof/>
                <w:sz w:val="20"/>
              </w:rPr>
              <w:br/>
              <w:t>obrazložena mnenja</w:t>
            </w:r>
          </w:p>
        </w:tc>
      </w:tr>
      <w:tr>
        <w:trPr>
          <w:cantSplit/>
        </w:trPr>
        <w:tc>
          <w:tcPr>
            <w:tcW w:w="414" w:type="dxa"/>
            <w:shd w:val="clear" w:color="auto" w:fill="auto"/>
          </w:tcPr>
          <w:p>
            <w:pPr>
              <w:spacing w:after="0"/>
              <w:jc w:val="left"/>
              <w:rPr>
                <w:noProof/>
                <w:sz w:val="20"/>
              </w:rPr>
            </w:pPr>
            <w:r>
              <w:rPr>
                <w:noProof/>
                <w:sz w:val="20"/>
              </w:rPr>
              <w:t>1</w:t>
            </w:r>
          </w:p>
        </w:tc>
        <w:tc>
          <w:tcPr>
            <w:tcW w:w="1977" w:type="dxa"/>
            <w:shd w:val="clear" w:color="auto" w:fill="auto"/>
          </w:tcPr>
          <w:p>
            <w:pPr>
              <w:spacing w:after="0"/>
              <w:jc w:val="left"/>
              <w:rPr>
                <w:noProof/>
                <w:color w:val="000000"/>
                <w:sz w:val="20"/>
              </w:rPr>
            </w:pPr>
            <w:r>
              <w:rPr>
                <w:noProof/>
                <w:color w:val="000000"/>
                <w:sz w:val="20"/>
              </w:rPr>
              <w:t>COM(2016) 861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w:t>
            </w:r>
            <w:r>
              <w:rPr>
                <w:b/>
                <w:noProof/>
                <w:color w:val="000000"/>
                <w:sz w:val="20"/>
              </w:rPr>
              <w:t>o notranjem trgu električne energije</w:t>
            </w:r>
            <w:r>
              <w:rPr>
                <w:noProof/>
                <w:color w:val="000000"/>
                <w:sz w:val="20"/>
              </w:rPr>
              <w:t xml:space="preserve"> (prenovitev) </w:t>
            </w:r>
          </w:p>
        </w:tc>
        <w:tc>
          <w:tcPr>
            <w:tcW w:w="1207" w:type="dxa"/>
            <w:shd w:val="clear" w:color="auto" w:fill="auto"/>
          </w:tcPr>
          <w:p>
            <w:pPr>
              <w:spacing w:after="0"/>
              <w:jc w:val="center"/>
              <w:rPr>
                <w:noProof/>
                <w:color w:val="000000"/>
                <w:sz w:val="20"/>
              </w:rPr>
            </w:pPr>
            <w:r>
              <w:rPr>
                <w:noProof/>
                <w:color w:val="000000"/>
                <w:sz w:val="20"/>
              </w:rPr>
              <w:t>11</w:t>
            </w:r>
          </w:p>
        </w:tc>
        <w:tc>
          <w:tcPr>
            <w:tcW w:w="1157" w:type="dxa"/>
            <w:shd w:val="clear" w:color="auto" w:fill="auto"/>
          </w:tcPr>
          <w:p>
            <w:pPr>
              <w:spacing w:after="0"/>
              <w:jc w:val="center"/>
              <w:rPr>
                <w:noProof/>
                <w:color w:val="000000"/>
                <w:sz w:val="20"/>
              </w:rPr>
            </w:pPr>
            <w:r>
              <w:rPr>
                <w:noProof/>
                <w:color w:val="000000"/>
                <w:sz w:val="20"/>
              </w:rPr>
              <w:t>13</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Bundesrat</w:t>
            </w:r>
            <w:r>
              <w:rPr>
                <w:noProof/>
                <w:sz w:val="20"/>
              </w:rPr>
              <w:t xml:space="preserve"> (1 glas) </w:t>
            </w:r>
          </w:p>
          <w:p>
            <w:pPr>
              <w:spacing w:after="0"/>
              <w:jc w:val="left"/>
              <w:rPr>
                <w:noProof/>
                <w:sz w:val="20"/>
              </w:rPr>
            </w:pPr>
          </w:p>
          <w:p>
            <w:pPr>
              <w:spacing w:after="0"/>
              <w:jc w:val="left"/>
              <w:rPr>
                <w:noProof/>
                <w:sz w:val="20"/>
              </w:rPr>
            </w:pPr>
            <w:r>
              <w:rPr>
                <w:noProof/>
                <w:sz w:val="20"/>
              </w:rPr>
              <w:t xml:space="preserve">DE </w:t>
            </w:r>
            <w:r>
              <w:rPr>
                <w:i/>
                <w:noProof/>
                <w:sz w:val="20"/>
              </w:rPr>
              <w:t>Bundestag</w:t>
            </w:r>
            <w:r>
              <w:rPr>
                <w:noProof/>
                <w:sz w:val="20"/>
              </w:rPr>
              <w:t xml:space="preserve"> (1 glas)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glas) </w:t>
            </w:r>
          </w:p>
          <w:p>
            <w:pPr>
              <w:spacing w:after="0"/>
              <w:jc w:val="left"/>
              <w:rPr>
                <w:noProof/>
                <w:sz w:val="20"/>
              </w:rPr>
            </w:pPr>
          </w:p>
          <w:p>
            <w:pPr>
              <w:spacing w:after="0"/>
              <w:jc w:val="left"/>
              <w:rPr>
                <w:noProof/>
                <w:sz w:val="20"/>
              </w:rPr>
            </w:pPr>
            <w:r>
              <w:rPr>
                <w:noProof/>
                <w:sz w:val="20"/>
              </w:rPr>
              <w:t xml:space="preserve">ES </w:t>
            </w:r>
            <w:r>
              <w:rPr>
                <w:i/>
                <w:noProof/>
                <w:sz w:val="20"/>
              </w:rPr>
              <w:t>Cortes Generales</w:t>
            </w:r>
            <w:r>
              <w:rPr>
                <w:noProof/>
                <w:sz w:val="20"/>
              </w:rPr>
              <w:t xml:space="preserve"> (2 glasova) </w:t>
            </w:r>
          </w:p>
          <w:p>
            <w:pPr>
              <w:spacing w:after="0"/>
              <w:jc w:val="left"/>
              <w:rPr>
                <w:noProof/>
                <w:sz w:val="20"/>
              </w:rPr>
            </w:pPr>
          </w:p>
          <w:p>
            <w:pPr>
              <w:spacing w:after="0"/>
              <w:jc w:val="left"/>
              <w:rPr>
                <w:noProof/>
                <w:sz w:val="20"/>
              </w:rPr>
            </w:pPr>
            <w:r>
              <w:rPr>
                <w:noProof/>
                <w:sz w:val="20"/>
              </w:rPr>
              <w:t xml:space="preserve">FR </w:t>
            </w:r>
            <w:r>
              <w:rPr>
                <w:i/>
                <w:noProof/>
                <w:sz w:val="20"/>
              </w:rPr>
              <w:t>Sénat</w:t>
            </w:r>
            <w:r>
              <w:rPr>
                <w:noProof/>
                <w:sz w:val="20"/>
              </w:rPr>
              <w:t xml:space="preserve"> (1 glas) </w:t>
            </w:r>
          </w:p>
          <w:p>
            <w:pPr>
              <w:spacing w:after="0"/>
              <w:jc w:val="left"/>
              <w:rPr>
                <w:noProof/>
                <w:sz w:val="20"/>
              </w:rPr>
            </w:pPr>
          </w:p>
          <w:p>
            <w:pPr>
              <w:spacing w:after="0"/>
              <w:jc w:val="left"/>
              <w:rPr>
                <w:noProof/>
                <w:sz w:val="20"/>
              </w:rPr>
            </w:pPr>
            <w:r>
              <w:rPr>
                <w:noProof/>
                <w:sz w:val="20"/>
              </w:rPr>
              <w:t xml:space="preserve">HU </w:t>
            </w:r>
            <w:r>
              <w:rPr>
                <w:i/>
                <w:noProof/>
                <w:color w:val="000000"/>
                <w:sz w:val="20"/>
              </w:rPr>
              <w:t xml:space="preserve">Országgyűlés </w:t>
            </w:r>
            <w:r>
              <w:rPr>
                <w:noProof/>
                <w:sz w:val="20"/>
              </w:rPr>
              <w:t>(2 glasova)</w:t>
            </w:r>
          </w:p>
          <w:p>
            <w:pPr>
              <w:spacing w:after="0"/>
              <w:jc w:val="left"/>
              <w:rPr>
                <w:i/>
                <w:iCs/>
                <w:noProof/>
                <w:color w:val="000000"/>
                <w:sz w:val="20"/>
              </w:rPr>
            </w:pPr>
          </w:p>
          <w:p>
            <w:pPr>
              <w:spacing w:after="0"/>
              <w:jc w:val="left"/>
              <w:rPr>
                <w:noProof/>
                <w:sz w:val="20"/>
              </w:rPr>
            </w:pPr>
            <w:r>
              <w:rPr>
                <w:noProof/>
                <w:color w:val="000000"/>
                <w:sz w:val="20"/>
              </w:rPr>
              <w:t xml:space="preserve">PL </w:t>
            </w:r>
            <w:r>
              <w:rPr>
                <w:i/>
                <w:noProof/>
                <w:color w:val="000000"/>
                <w:sz w:val="20"/>
              </w:rPr>
              <w:t>Sejm</w:t>
            </w:r>
            <w:r>
              <w:rPr>
                <w:noProof/>
                <w:color w:val="000000"/>
                <w:sz w:val="20"/>
              </w:rPr>
              <w:t xml:space="preserve"> </w:t>
            </w:r>
            <w:r>
              <w:rPr>
                <w:noProof/>
                <w:sz w:val="20"/>
              </w:rPr>
              <w:t xml:space="preserve">(1 glas) </w:t>
            </w:r>
          </w:p>
          <w:p>
            <w:pPr>
              <w:spacing w:after="0"/>
              <w:jc w:val="left"/>
              <w:rPr>
                <w:iCs/>
                <w:noProof/>
                <w:color w:val="000000"/>
                <w:sz w:val="20"/>
              </w:rPr>
            </w:pPr>
          </w:p>
          <w:p>
            <w:pPr>
              <w:spacing w:after="0"/>
              <w:jc w:val="left"/>
              <w:rPr>
                <w:noProof/>
                <w:sz w:val="20"/>
              </w:rPr>
            </w:pPr>
            <w:r>
              <w:rPr>
                <w:noProof/>
                <w:color w:val="000000"/>
                <w:sz w:val="20"/>
              </w:rPr>
              <w:t xml:space="preserve">PL </w:t>
            </w:r>
            <w:r>
              <w:rPr>
                <w:i/>
                <w:noProof/>
                <w:color w:val="000000"/>
                <w:sz w:val="20"/>
              </w:rPr>
              <w:t>Senat</w:t>
            </w:r>
            <w:r>
              <w:rPr>
                <w:noProof/>
                <w:color w:val="000000"/>
                <w:sz w:val="20"/>
              </w:rPr>
              <w:t xml:space="preserve"> </w:t>
            </w:r>
            <w:r>
              <w:rPr>
                <w:noProof/>
                <w:sz w:val="20"/>
              </w:rPr>
              <w:t xml:space="preserve">(1 glas) </w:t>
            </w:r>
          </w:p>
          <w:p>
            <w:pPr>
              <w:spacing w:after="0"/>
              <w:jc w:val="left"/>
              <w:rPr>
                <w:iCs/>
                <w:noProof/>
                <w:color w:val="000000"/>
                <w:sz w:val="20"/>
              </w:rPr>
            </w:pPr>
          </w:p>
          <w:p>
            <w:pPr>
              <w:spacing w:after="0"/>
              <w:jc w:val="left"/>
              <w:rPr>
                <w:noProof/>
                <w:sz w:val="20"/>
              </w:rPr>
            </w:pPr>
            <w:r>
              <w:rPr>
                <w:noProof/>
                <w:color w:val="000000"/>
                <w:sz w:val="20"/>
              </w:rPr>
              <w:t xml:space="preserve">CZ </w:t>
            </w:r>
            <w:r>
              <w:rPr>
                <w:i/>
                <w:noProof/>
                <w:color w:val="000000"/>
                <w:sz w:val="20"/>
              </w:rPr>
              <w:t xml:space="preserve">Poslanecká sněmovna </w:t>
            </w:r>
            <w:r>
              <w:rPr>
                <w:noProof/>
                <w:sz w:val="20"/>
              </w:rPr>
              <w:t xml:space="preserve">(1 glas) </w:t>
            </w:r>
          </w:p>
          <w:p>
            <w:pPr>
              <w:spacing w:after="0"/>
              <w:jc w:val="left"/>
              <w:rPr>
                <w:i/>
                <w:iCs/>
                <w:noProof/>
                <w:color w:val="000000"/>
                <w:sz w:val="20"/>
              </w:rPr>
            </w:pPr>
          </w:p>
          <w:p>
            <w:pPr>
              <w:spacing w:after="0"/>
              <w:jc w:val="left"/>
              <w:rPr>
                <w:noProof/>
                <w:sz w:val="20"/>
              </w:rPr>
            </w:pPr>
            <w:r>
              <w:rPr>
                <w:noProof/>
                <w:sz w:val="20"/>
              </w:rPr>
              <w:t xml:space="preserve">RO </w:t>
            </w:r>
            <w:r>
              <w:rPr>
                <w:i/>
                <w:noProof/>
                <w:color w:val="000000"/>
                <w:sz w:val="20"/>
              </w:rPr>
              <w:t xml:space="preserve">Camera Deputaților </w:t>
            </w:r>
            <w:r>
              <w:rPr>
                <w:noProof/>
                <w:sz w:val="20"/>
              </w:rPr>
              <w:t xml:space="preserve">(1 glas) </w:t>
            </w:r>
          </w:p>
          <w:p>
            <w:pPr>
              <w:spacing w:after="0"/>
              <w:jc w:val="left"/>
              <w:rPr>
                <w:i/>
                <w:iCs/>
                <w:noProof/>
                <w:color w:val="000000"/>
                <w:sz w:val="20"/>
              </w:rPr>
            </w:pPr>
          </w:p>
          <w:p>
            <w:pPr>
              <w:spacing w:after="0"/>
              <w:jc w:val="left"/>
              <w:rPr>
                <w:iCs/>
                <w:noProof/>
                <w:color w:val="000000"/>
                <w:sz w:val="20"/>
              </w:rPr>
            </w:pPr>
            <w:r>
              <w:rPr>
                <w:noProof/>
                <w:color w:val="000000"/>
                <w:sz w:val="20"/>
              </w:rPr>
              <w:t xml:space="preserve">RO </w:t>
            </w:r>
            <w:r>
              <w:rPr>
                <w:i/>
                <w:noProof/>
                <w:color w:val="000000"/>
                <w:sz w:val="20"/>
              </w:rPr>
              <w:t>Senatul</w:t>
            </w:r>
            <w:r>
              <w:rPr>
                <w:noProof/>
                <w:color w:val="000000"/>
                <w:sz w:val="20"/>
              </w:rPr>
              <w:t xml:space="preserve"> </w:t>
            </w:r>
            <w:r>
              <w:rPr>
                <w:noProof/>
                <w:sz w:val="20"/>
              </w:rPr>
              <w:t xml:space="preserve">(1 glas) </w:t>
            </w:r>
          </w:p>
        </w:tc>
      </w:tr>
      <w:tr>
        <w:trPr>
          <w:cantSplit/>
        </w:trPr>
        <w:tc>
          <w:tcPr>
            <w:tcW w:w="414" w:type="dxa"/>
            <w:shd w:val="clear" w:color="auto" w:fill="auto"/>
          </w:tcPr>
          <w:p>
            <w:pPr>
              <w:spacing w:after="0"/>
              <w:jc w:val="left"/>
              <w:rPr>
                <w:noProof/>
                <w:sz w:val="20"/>
              </w:rPr>
            </w:pPr>
            <w:r>
              <w:rPr>
                <w:noProof/>
                <w:sz w:val="20"/>
              </w:rPr>
              <w:t>2</w:t>
            </w:r>
          </w:p>
        </w:tc>
        <w:tc>
          <w:tcPr>
            <w:tcW w:w="1977" w:type="dxa"/>
            <w:shd w:val="clear" w:color="auto" w:fill="auto"/>
          </w:tcPr>
          <w:p>
            <w:pPr>
              <w:spacing w:after="0"/>
              <w:jc w:val="left"/>
              <w:rPr>
                <w:noProof/>
                <w:color w:val="000000"/>
                <w:sz w:val="20"/>
              </w:rPr>
            </w:pPr>
            <w:r>
              <w:rPr>
                <w:noProof/>
                <w:color w:val="000000"/>
                <w:sz w:val="20"/>
              </w:rPr>
              <w:t>COM(2016) 822 final.</w:t>
            </w:r>
          </w:p>
        </w:tc>
        <w:tc>
          <w:tcPr>
            <w:tcW w:w="2811" w:type="dxa"/>
            <w:shd w:val="clear" w:color="auto" w:fill="auto"/>
          </w:tcPr>
          <w:p>
            <w:pPr>
              <w:spacing w:after="0"/>
              <w:jc w:val="left"/>
              <w:rPr>
                <w:noProof/>
                <w:color w:val="000000"/>
                <w:sz w:val="20"/>
              </w:rPr>
            </w:pPr>
            <w:r>
              <w:rPr>
                <w:noProof/>
                <w:color w:val="000000"/>
                <w:sz w:val="20"/>
              </w:rPr>
              <w:t xml:space="preserve">Predlog direktive Evropskega parlamenta in Sveta </w:t>
            </w:r>
            <w:r>
              <w:rPr>
                <w:b/>
                <w:noProof/>
                <w:color w:val="000000"/>
                <w:sz w:val="20"/>
              </w:rPr>
              <w:t>o preskusu sorazmernosti pred sprejetjem nove regulacije poklicev</w:t>
            </w:r>
          </w:p>
        </w:tc>
        <w:tc>
          <w:tcPr>
            <w:tcW w:w="1207" w:type="dxa"/>
            <w:shd w:val="clear" w:color="auto" w:fill="auto"/>
          </w:tcPr>
          <w:p>
            <w:pPr>
              <w:spacing w:after="0"/>
              <w:jc w:val="center"/>
              <w:rPr>
                <w:noProof/>
                <w:color w:val="000000"/>
                <w:sz w:val="20"/>
              </w:rPr>
            </w:pPr>
            <w:r>
              <w:rPr>
                <w:noProof/>
                <w:color w:val="000000"/>
                <w:sz w:val="20"/>
              </w:rPr>
              <w:t>5</w:t>
            </w:r>
          </w:p>
        </w:tc>
        <w:tc>
          <w:tcPr>
            <w:tcW w:w="1157" w:type="dxa"/>
            <w:shd w:val="clear" w:color="auto" w:fill="auto"/>
          </w:tcPr>
          <w:p>
            <w:pPr>
              <w:spacing w:after="0"/>
              <w:jc w:val="center"/>
              <w:rPr>
                <w:noProof/>
                <w:color w:val="000000"/>
                <w:sz w:val="20"/>
              </w:rPr>
            </w:pPr>
            <w:r>
              <w:rPr>
                <w:noProof/>
                <w:color w:val="000000"/>
                <w:sz w:val="20"/>
              </w:rPr>
              <w:t>5</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glas) </w:t>
            </w:r>
          </w:p>
          <w:p>
            <w:pPr>
              <w:spacing w:after="0"/>
              <w:jc w:val="left"/>
              <w:rPr>
                <w:noProof/>
                <w:sz w:val="20"/>
              </w:rPr>
            </w:pPr>
          </w:p>
          <w:p>
            <w:pPr>
              <w:spacing w:after="0"/>
              <w:jc w:val="left"/>
              <w:rPr>
                <w:noProof/>
                <w:sz w:val="20"/>
              </w:rPr>
            </w:pPr>
            <w:r>
              <w:rPr>
                <w:noProof/>
                <w:sz w:val="20"/>
              </w:rPr>
              <w:t xml:space="preserve">DE </w:t>
            </w:r>
            <w:r>
              <w:rPr>
                <w:i/>
                <w:noProof/>
                <w:sz w:val="20"/>
              </w:rPr>
              <w:t>Bundesrat</w:t>
            </w:r>
            <w:r>
              <w:rPr>
                <w:noProof/>
                <w:sz w:val="20"/>
              </w:rPr>
              <w:t xml:space="preserve"> (1 glas)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glas) </w:t>
            </w:r>
          </w:p>
          <w:p>
            <w:pPr>
              <w:spacing w:after="0"/>
              <w:jc w:val="left"/>
              <w:rPr>
                <w:noProof/>
                <w:sz w:val="20"/>
              </w:rPr>
            </w:pPr>
          </w:p>
          <w:p>
            <w:pPr>
              <w:spacing w:after="0"/>
              <w:jc w:val="left"/>
              <w:rPr>
                <w:noProof/>
                <w:sz w:val="20"/>
              </w:rPr>
            </w:pPr>
            <w:r>
              <w:rPr>
                <w:noProof/>
                <w:sz w:val="20"/>
              </w:rPr>
              <w:t xml:space="preserve">FR </w:t>
            </w:r>
            <w:r>
              <w:rPr>
                <w:i/>
                <w:noProof/>
                <w:color w:val="000000"/>
                <w:sz w:val="20"/>
              </w:rPr>
              <w:t>Assemblée nationale</w:t>
            </w:r>
            <w:r>
              <w:rPr>
                <w:noProof/>
                <w:sz w:val="20"/>
              </w:rPr>
              <w:t xml:space="preserve"> (1 glas)</w:t>
            </w:r>
          </w:p>
          <w:p>
            <w:pPr>
              <w:spacing w:after="0"/>
              <w:jc w:val="left"/>
              <w:rPr>
                <w:i/>
                <w:iCs/>
                <w:noProof/>
                <w:color w:val="000000"/>
                <w:sz w:val="20"/>
              </w:rPr>
            </w:pPr>
          </w:p>
          <w:p>
            <w:pPr>
              <w:spacing w:after="0"/>
              <w:jc w:val="left"/>
              <w:rPr>
                <w:noProof/>
                <w:sz w:val="20"/>
              </w:rPr>
            </w:pPr>
            <w:r>
              <w:rPr>
                <w:noProof/>
                <w:sz w:val="20"/>
              </w:rPr>
              <w:t xml:space="preserve">FR </w:t>
            </w:r>
            <w:r>
              <w:rPr>
                <w:i/>
                <w:noProof/>
                <w:sz w:val="20"/>
              </w:rPr>
              <w:t>Sénat</w:t>
            </w:r>
            <w:r>
              <w:rPr>
                <w:noProof/>
                <w:sz w:val="20"/>
              </w:rPr>
              <w:t xml:space="preserve"> (1 glas)</w:t>
            </w:r>
          </w:p>
        </w:tc>
      </w:tr>
      <w:tr>
        <w:trPr>
          <w:cantSplit/>
        </w:trPr>
        <w:tc>
          <w:tcPr>
            <w:tcW w:w="414" w:type="dxa"/>
            <w:shd w:val="clear" w:color="auto" w:fill="auto"/>
          </w:tcPr>
          <w:p>
            <w:pPr>
              <w:spacing w:after="0"/>
              <w:jc w:val="left"/>
              <w:rPr>
                <w:noProof/>
                <w:sz w:val="20"/>
              </w:rPr>
            </w:pPr>
            <w:r>
              <w:rPr>
                <w:noProof/>
                <w:sz w:val="20"/>
              </w:rPr>
              <w:t>3</w:t>
            </w:r>
          </w:p>
        </w:tc>
        <w:tc>
          <w:tcPr>
            <w:tcW w:w="1977" w:type="dxa"/>
            <w:shd w:val="clear" w:color="auto" w:fill="auto"/>
          </w:tcPr>
          <w:p>
            <w:pPr>
              <w:spacing w:after="0"/>
              <w:jc w:val="left"/>
              <w:rPr>
                <w:noProof/>
                <w:color w:val="000000"/>
                <w:sz w:val="20"/>
              </w:rPr>
            </w:pPr>
            <w:r>
              <w:rPr>
                <w:noProof/>
                <w:color w:val="000000"/>
                <w:sz w:val="20"/>
              </w:rPr>
              <w:t>COM(2017) 253 final.</w:t>
            </w:r>
          </w:p>
        </w:tc>
        <w:tc>
          <w:tcPr>
            <w:tcW w:w="2811" w:type="dxa"/>
            <w:shd w:val="clear" w:color="auto" w:fill="auto"/>
          </w:tcPr>
          <w:p>
            <w:pPr>
              <w:spacing w:after="0"/>
              <w:jc w:val="left"/>
              <w:rPr>
                <w:noProof/>
                <w:color w:val="000000"/>
                <w:sz w:val="20"/>
              </w:rPr>
            </w:pPr>
            <w:r>
              <w:rPr>
                <w:noProof/>
                <w:color w:val="000000"/>
                <w:sz w:val="20"/>
              </w:rPr>
              <w:t xml:space="preserve">Predlog direktive Evropskega parlamenta in Sveta </w:t>
            </w:r>
            <w:r>
              <w:rPr>
                <w:b/>
                <w:noProof/>
                <w:color w:val="000000"/>
                <w:sz w:val="20"/>
              </w:rPr>
              <w:t>o usklajevanju poklicnega in zasebnega življenja staršev in oskrbovalcev</w:t>
            </w:r>
            <w:r>
              <w:rPr>
                <w:noProof/>
                <w:color w:val="000000"/>
                <w:sz w:val="20"/>
              </w:rPr>
              <w:t xml:space="preserve"> ter razveljavitvi Direktive Sveta 2010/18/EU</w:t>
            </w:r>
          </w:p>
        </w:tc>
        <w:tc>
          <w:tcPr>
            <w:tcW w:w="1207" w:type="dxa"/>
            <w:shd w:val="clear" w:color="auto" w:fill="auto"/>
          </w:tcPr>
          <w:p>
            <w:pPr>
              <w:spacing w:after="0"/>
              <w:jc w:val="center"/>
              <w:rPr>
                <w:noProof/>
                <w:color w:val="000000"/>
                <w:sz w:val="20"/>
              </w:rPr>
            </w:pPr>
            <w:r>
              <w:rPr>
                <w:noProof/>
                <w:color w:val="000000"/>
                <w:sz w:val="20"/>
              </w:rPr>
              <w:t>4</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NL </w:t>
            </w:r>
            <w:r>
              <w:rPr>
                <w:i/>
                <w:noProof/>
                <w:color w:val="000000"/>
                <w:sz w:val="20"/>
              </w:rPr>
              <w:t xml:space="preserve">Eerste Kamer </w:t>
            </w:r>
            <w:r>
              <w:rPr>
                <w:noProof/>
                <w:sz w:val="20"/>
              </w:rPr>
              <w:t xml:space="preserve">(1 glas) </w:t>
            </w:r>
          </w:p>
          <w:p>
            <w:pPr>
              <w:spacing w:after="0"/>
              <w:jc w:val="left"/>
              <w:rPr>
                <w:i/>
                <w:iCs/>
                <w:noProof/>
                <w:color w:val="000000"/>
                <w:sz w:val="20"/>
              </w:rPr>
            </w:pPr>
          </w:p>
          <w:p>
            <w:pPr>
              <w:spacing w:after="0"/>
              <w:jc w:val="left"/>
              <w:rPr>
                <w:noProof/>
                <w:sz w:val="20"/>
              </w:rPr>
            </w:pPr>
            <w:r>
              <w:rPr>
                <w:noProof/>
                <w:sz w:val="20"/>
              </w:rPr>
              <w:t xml:space="preserve">NL </w:t>
            </w:r>
            <w:r>
              <w:rPr>
                <w:i/>
                <w:noProof/>
                <w:color w:val="000000"/>
                <w:sz w:val="20"/>
              </w:rPr>
              <w:t xml:space="preserve">Tweede Kamer </w:t>
            </w:r>
            <w:r>
              <w:rPr>
                <w:noProof/>
                <w:sz w:val="20"/>
              </w:rPr>
              <w:t>(1 glas)</w:t>
            </w:r>
          </w:p>
          <w:p>
            <w:pPr>
              <w:spacing w:after="0"/>
              <w:jc w:val="left"/>
              <w:rPr>
                <w:noProof/>
                <w:sz w:val="20"/>
              </w:rPr>
            </w:pPr>
          </w:p>
          <w:p>
            <w:pPr>
              <w:spacing w:after="0"/>
              <w:jc w:val="left"/>
              <w:rPr>
                <w:noProof/>
                <w:sz w:val="20"/>
              </w:rPr>
            </w:pPr>
            <w:r>
              <w:rPr>
                <w:noProof/>
                <w:sz w:val="20"/>
              </w:rPr>
              <w:t xml:space="preserve">PL </w:t>
            </w:r>
            <w:r>
              <w:rPr>
                <w:i/>
                <w:noProof/>
                <w:sz w:val="20"/>
              </w:rPr>
              <w:t>Sejm</w:t>
            </w:r>
            <w:r>
              <w:rPr>
                <w:noProof/>
                <w:sz w:val="20"/>
              </w:rPr>
              <w:t xml:space="preserve"> (1 glas)</w:t>
            </w:r>
          </w:p>
          <w:p>
            <w:pPr>
              <w:spacing w:after="0"/>
              <w:jc w:val="left"/>
              <w:rPr>
                <w:noProof/>
                <w:sz w:val="20"/>
              </w:rPr>
            </w:pPr>
          </w:p>
          <w:p>
            <w:pPr>
              <w:spacing w:after="0"/>
              <w:jc w:val="left"/>
              <w:rPr>
                <w:noProof/>
                <w:sz w:val="20"/>
              </w:rPr>
            </w:pPr>
            <w:r>
              <w:rPr>
                <w:noProof/>
                <w:sz w:val="20"/>
              </w:rPr>
              <w:t xml:space="preserve">PL </w:t>
            </w:r>
            <w:r>
              <w:rPr>
                <w:i/>
                <w:noProof/>
                <w:sz w:val="20"/>
              </w:rPr>
              <w:t>Senat</w:t>
            </w:r>
            <w:r>
              <w:rPr>
                <w:noProof/>
                <w:sz w:val="20"/>
              </w:rPr>
              <w:t xml:space="preserve"> (1 glas)</w:t>
            </w:r>
          </w:p>
        </w:tc>
      </w:tr>
      <w:tr>
        <w:trPr>
          <w:cantSplit/>
        </w:trPr>
        <w:tc>
          <w:tcPr>
            <w:tcW w:w="414" w:type="dxa"/>
            <w:shd w:val="clear" w:color="auto" w:fill="auto"/>
          </w:tcPr>
          <w:p>
            <w:pPr>
              <w:spacing w:after="0"/>
              <w:jc w:val="left"/>
              <w:rPr>
                <w:noProof/>
                <w:sz w:val="20"/>
              </w:rPr>
            </w:pPr>
            <w:r>
              <w:rPr>
                <w:noProof/>
                <w:sz w:val="20"/>
              </w:rPr>
              <w:lastRenderedPageBreak/>
              <w:t>4</w:t>
            </w:r>
          </w:p>
        </w:tc>
        <w:tc>
          <w:tcPr>
            <w:tcW w:w="1977" w:type="dxa"/>
            <w:shd w:val="clear" w:color="auto" w:fill="auto"/>
          </w:tcPr>
          <w:p>
            <w:pPr>
              <w:spacing w:after="0"/>
              <w:jc w:val="left"/>
              <w:rPr>
                <w:noProof/>
                <w:color w:val="000000"/>
                <w:sz w:val="20"/>
              </w:rPr>
            </w:pPr>
            <w:r>
              <w:rPr>
                <w:noProof/>
                <w:color w:val="000000"/>
                <w:sz w:val="20"/>
              </w:rPr>
              <w:t>COM(2016) 821 final.</w:t>
            </w:r>
          </w:p>
        </w:tc>
        <w:tc>
          <w:tcPr>
            <w:tcW w:w="2811" w:type="dxa"/>
            <w:shd w:val="clear" w:color="auto" w:fill="auto"/>
          </w:tcPr>
          <w:p>
            <w:pPr>
              <w:spacing w:after="0"/>
              <w:jc w:val="left"/>
              <w:rPr>
                <w:noProof/>
                <w:color w:val="000000"/>
                <w:sz w:val="20"/>
              </w:rPr>
            </w:pPr>
            <w:r>
              <w:rPr>
                <w:noProof/>
                <w:color w:val="000000"/>
                <w:sz w:val="20"/>
              </w:rPr>
              <w:t xml:space="preserve">Predlog direktive Evropskega parlamenta in Sveta o izvrševanju Direktive 2006/123/ES o storitvah na notranjem trgu, določitvi </w:t>
            </w:r>
            <w:r>
              <w:rPr>
                <w:b/>
                <w:noProof/>
                <w:color w:val="000000"/>
                <w:sz w:val="20"/>
              </w:rPr>
              <w:t>postopka uradnega obveščanja o sistemih dovoljenj in zahtevah, povezanih s storitvami</w:t>
            </w:r>
            <w:r>
              <w:rPr>
                <w:noProof/>
                <w:color w:val="000000"/>
                <w:sz w:val="20"/>
              </w:rPr>
              <w:t xml:space="preserve">, ter spremembah Direktive 2006/123/ES in Uredbe (EU) št. 1024/2012 o </w:t>
            </w:r>
            <w:r>
              <w:rPr>
                <w:b/>
                <w:noProof/>
                <w:color w:val="000000"/>
                <w:sz w:val="20"/>
              </w:rPr>
              <w:t>upravnem sodelovanju prek informacijskega sistema za notranji trg</w:t>
            </w:r>
          </w:p>
        </w:tc>
        <w:tc>
          <w:tcPr>
            <w:tcW w:w="1207" w:type="dxa"/>
            <w:shd w:val="clear" w:color="auto" w:fill="auto"/>
          </w:tcPr>
          <w:p>
            <w:pPr>
              <w:spacing w:after="0"/>
              <w:jc w:val="center"/>
              <w:rPr>
                <w:noProof/>
                <w:color w:val="000000"/>
                <w:sz w:val="20"/>
              </w:rPr>
            </w:pPr>
            <w:r>
              <w:rPr>
                <w:noProof/>
                <w:color w:val="000000"/>
                <w:sz w:val="20"/>
              </w:rPr>
              <w:t>4</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glas) </w:t>
            </w:r>
          </w:p>
          <w:p>
            <w:pPr>
              <w:spacing w:after="0"/>
              <w:jc w:val="left"/>
              <w:rPr>
                <w:noProof/>
                <w:sz w:val="20"/>
              </w:rPr>
            </w:pPr>
          </w:p>
          <w:p>
            <w:pPr>
              <w:spacing w:after="0"/>
              <w:jc w:val="left"/>
              <w:rPr>
                <w:noProof/>
                <w:sz w:val="20"/>
              </w:rPr>
            </w:pPr>
            <w:r>
              <w:rPr>
                <w:noProof/>
                <w:sz w:val="20"/>
              </w:rPr>
              <w:t xml:space="preserve">DE </w:t>
            </w:r>
            <w:r>
              <w:rPr>
                <w:i/>
                <w:noProof/>
                <w:sz w:val="20"/>
              </w:rPr>
              <w:t>Bundesrat</w:t>
            </w:r>
            <w:r>
              <w:rPr>
                <w:noProof/>
                <w:sz w:val="20"/>
              </w:rPr>
              <w:t xml:space="preserve"> (1 glas) </w:t>
            </w:r>
          </w:p>
          <w:p>
            <w:pPr>
              <w:spacing w:after="0"/>
              <w:jc w:val="left"/>
              <w:rPr>
                <w:noProof/>
                <w:sz w:val="20"/>
              </w:rPr>
            </w:pPr>
          </w:p>
          <w:p>
            <w:pPr>
              <w:spacing w:after="0"/>
              <w:jc w:val="left"/>
              <w:rPr>
                <w:noProof/>
                <w:sz w:val="20"/>
              </w:rPr>
            </w:pPr>
            <w:r>
              <w:rPr>
                <w:noProof/>
                <w:sz w:val="20"/>
              </w:rPr>
              <w:t xml:space="preserve">FR </w:t>
            </w:r>
            <w:r>
              <w:rPr>
                <w:i/>
                <w:noProof/>
                <w:color w:val="000000"/>
                <w:sz w:val="20"/>
              </w:rPr>
              <w:t>Assemblée nationale</w:t>
            </w:r>
            <w:r>
              <w:rPr>
                <w:noProof/>
                <w:sz w:val="20"/>
              </w:rPr>
              <w:t xml:space="preserve"> (1 glas) </w:t>
            </w:r>
          </w:p>
          <w:p>
            <w:pPr>
              <w:spacing w:after="0"/>
              <w:jc w:val="left"/>
              <w:rPr>
                <w:i/>
                <w:iCs/>
                <w:noProof/>
                <w:color w:val="000000"/>
                <w:sz w:val="20"/>
              </w:rPr>
            </w:pPr>
          </w:p>
          <w:p>
            <w:pPr>
              <w:spacing w:after="0"/>
              <w:jc w:val="left"/>
              <w:rPr>
                <w:noProof/>
                <w:sz w:val="20"/>
              </w:rPr>
            </w:pPr>
            <w:r>
              <w:rPr>
                <w:noProof/>
                <w:sz w:val="20"/>
              </w:rPr>
              <w:t xml:space="preserve">FR </w:t>
            </w:r>
            <w:r>
              <w:rPr>
                <w:i/>
                <w:noProof/>
                <w:sz w:val="20"/>
              </w:rPr>
              <w:t>Sénat</w:t>
            </w:r>
            <w:r>
              <w:rPr>
                <w:noProof/>
                <w:sz w:val="20"/>
              </w:rPr>
              <w:t xml:space="preserve"> (1 glas) </w:t>
            </w:r>
          </w:p>
        </w:tc>
      </w:tr>
      <w:tr>
        <w:trPr>
          <w:cantSplit/>
        </w:trPr>
        <w:tc>
          <w:tcPr>
            <w:tcW w:w="414" w:type="dxa"/>
            <w:shd w:val="clear" w:color="auto" w:fill="auto"/>
          </w:tcPr>
          <w:p>
            <w:pPr>
              <w:spacing w:after="0"/>
              <w:jc w:val="left"/>
              <w:rPr>
                <w:noProof/>
                <w:sz w:val="20"/>
              </w:rPr>
            </w:pPr>
            <w:r>
              <w:rPr>
                <w:noProof/>
                <w:sz w:val="20"/>
              </w:rPr>
              <w:t>5</w:t>
            </w:r>
          </w:p>
        </w:tc>
        <w:tc>
          <w:tcPr>
            <w:tcW w:w="1977" w:type="dxa"/>
            <w:shd w:val="clear" w:color="auto" w:fill="auto"/>
          </w:tcPr>
          <w:p>
            <w:pPr>
              <w:spacing w:after="0"/>
              <w:jc w:val="left"/>
              <w:rPr>
                <w:noProof/>
                <w:color w:val="000000"/>
                <w:sz w:val="20"/>
              </w:rPr>
            </w:pPr>
            <w:r>
              <w:rPr>
                <w:noProof/>
                <w:color w:val="000000"/>
                <w:sz w:val="20"/>
              </w:rPr>
              <w:t>COM(2016) 864 final.</w:t>
            </w:r>
          </w:p>
        </w:tc>
        <w:tc>
          <w:tcPr>
            <w:tcW w:w="2811" w:type="dxa"/>
            <w:shd w:val="clear" w:color="auto" w:fill="auto"/>
          </w:tcPr>
          <w:p>
            <w:pPr>
              <w:spacing w:after="0"/>
              <w:jc w:val="left"/>
              <w:rPr>
                <w:noProof/>
                <w:color w:val="000000"/>
                <w:sz w:val="20"/>
              </w:rPr>
            </w:pPr>
            <w:r>
              <w:rPr>
                <w:noProof/>
                <w:color w:val="000000"/>
                <w:sz w:val="20"/>
              </w:rPr>
              <w:t xml:space="preserve">Predlogu direktive Evropskega parlamenta in Sveta o </w:t>
            </w:r>
            <w:r>
              <w:rPr>
                <w:b/>
                <w:noProof/>
                <w:color w:val="000000"/>
                <w:sz w:val="20"/>
              </w:rPr>
              <w:t>skupnih pravilih za notranji trg električne energije</w:t>
            </w:r>
            <w:r>
              <w:rPr>
                <w:noProof/>
                <w:color w:val="000000"/>
                <w:sz w:val="20"/>
              </w:rPr>
              <w:t xml:space="preserve"> (prenovitev) </w:t>
            </w:r>
          </w:p>
        </w:tc>
        <w:tc>
          <w:tcPr>
            <w:tcW w:w="1207" w:type="dxa"/>
            <w:shd w:val="clear" w:color="auto" w:fill="auto"/>
          </w:tcPr>
          <w:p>
            <w:pPr>
              <w:spacing w:after="0"/>
              <w:jc w:val="center"/>
              <w:rPr>
                <w:noProof/>
                <w:color w:val="000000"/>
                <w:sz w:val="20"/>
              </w:rPr>
            </w:pPr>
            <w:r>
              <w:rPr>
                <w:noProof/>
                <w:color w:val="000000"/>
                <w:sz w:val="20"/>
              </w:rPr>
              <w:t>3</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AT </w:t>
            </w:r>
            <w:r>
              <w:rPr>
                <w:i/>
                <w:noProof/>
                <w:sz w:val="20"/>
              </w:rPr>
              <w:t>Bundesrat</w:t>
            </w:r>
            <w:r>
              <w:rPr>
                <w:noProof/>
                <w:sz w:val="20"/>
              </w:rPr>
              <w:t xml:space="preserve"> (1 glas) </w:t>
            </w:r>
          </w:p>
          <w:p>
            <w:pPr>
              <w:spacing w:after="0"/>
              <w:jc w:val="left"/>
              <w:rPr>
                <w:noProof/>
                <w:sz w:val="20"/>
              </w:rPr>
            </w:pPr>
          </w:p>
          <w:p>
            <w:pPr>
              <w:spacing w:after="0"/>
              <w:jc w:val="left"/>
              <w:rPr>
                <w:noProof/>
                <w:sz w:val="20"/>
              </w:rPr>
            </w:pPr>
            <w:r>
              <w:rPr>
                <w:noProof/>
                <w:sz w:val="20"/>
              </w:rPr>
              <w:t xml:space="preserve">HU </w:t>
            </w:r>
            <w:r>
              <w:rPr>
                <w:i/>
                <w:noProof/>
                <w:color w:val="000000"/>
                <w:sz w:val="20"/>
              </w:rPr>
              <w:t>Országgyűlés</w:t>
            </w:r>
            <w:r>
              <w:rPr>
                <w:noProof/>
                <w:sz w:val="20"/>
              </w:rPr>
              <w:t xml:space="preserve"> (2 glasova) </w:t>
            </w:r>
          </w:p>
          <w:p>
            <w:pPr>
              <w:spacing w:after="0"/>
              <w:jc w:val="left"/>
              <w:rPr>
                <w:noProof/>
                <w:sz w:val="20"/>
              </w:rPr>
            </w:pPr>
          </w:p>
          <w:p>
            <w:pPr>
              <w:spacing w:after="0"/>
              <w:jc w:val="left"/>
              <w:rPr>
                <w:noProof/>
                <w:sz w:val="20"/>
              </w:rPr>
            </w:pPr>
            <w:r>
              <w:rPr>
                <w:noProof/>
                <w:sz w:val="20"/>
              </w:rPr>
              <w:t xml:space="preserve">PL </w:t>
            </w:r>
            <w:r>
              <w:rPr>
                <w:i/>
                <w:noProof/>
                <w:sz w:val="20"/>
              </w:rPr>
              <w:t>Senat</w:t>
            </w:r>
            <w:r>
              <w:rPr>
                <w:noProof/>
                <w:sz w:val="20"/>
              </w:rPr>
              <w:t xml:space="preserve"> (1 glas) </w:t>
            </w:r>
          </w:p>
        </w:tc>
      </w:tr>
      <w:tr>
        <w:trPr>
          <w:cantSplit/>
        </w:trPr>
        <w:tc>
          <w:tcPr>
            <w:tcW w:w="414" w:type="dxa"/>
            <w:shd w:val="clear" w:color="auto" w:fill="auto"/>
          </w:tcPr>
          <w:p>
            <w:pPr>
              <w:spacing w:after="0"/>
              <w:jc w:val="left"/>
              <w:rPr>
                <w:noProof/>
                <w:sz w:val="20"/>
              </w:rPr>
            </w:pPr>
            <w:r>
              <w:rPr>
                <w:noProof/>
                <w:sz w:val="20"/>
              </w:rPr>
              <w:t>6</w:t>
            </w:r>
          </w:p>
        </w:tc>
        <w:tc>
          <w:tcPr>
            <w:tcW w:w="1977" w:type="dxa"/>
            <w:shd w:val="clear" w:color="auto" w:fill="auto"/>
          </w:tcPr>
          <w:p>
            <w:pPr>
              <w:spacing w:after="0"/>
              <w:jc w:val="left"/>
              <w:rPr>
                <w:noProof/>
                <w:color w:val="000000"/>
                <w:sz w:val="20"/>
              </w:rPr>
            </w:pPr>
            <w:r>
              <w:rPr>
                <w:noProof/>
                <w:color w:val="000000"/>
                <w:sz w:val="20"/>
              </w:rPr>
              <w:t>COM(2016) 863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o ustanovitvi </w:t>
            </w:r>
            <w:r>
              <w:rPr>
                <w:b/>
                <w:noProof/>
                <w:color w:val="000000"/>
                <w:sz w:val="20"/>
              </w:rPr>
              <w:t>Agencije Evropske unije za sodelovanje energetskih regulatorjev</w:t>
            </w:r>
            <w:r>
              <w:rPr>
                <w:noProof/>
                <w:color w:val="000000"/>
                <w:sz w:val="20"/>
              </w:rPr>
              <w:t xml:space="preserve"> (prenovitev) </w:t>
            </w:r>
          </w:p>
        </w:tc>
        <w:tc>
          <w:tcPr>
            <w:tcW w:w="1207" w:type="dxa"/>
            <w:shd w:val="clear" w:color="auto" w:fill="auto"/>
          </w:tcPr>
          <w:p>
            <w:pPr>
              <w:spacing w:after="0"/>
              <w:jc w:val="center"/>
              <w:rPr>
                <w:noProof/>
                <w:color w:val="000000"/>
                <w:sz w:val="20"/>
              </w:rPr>
            </w:pPr>
            <w:r>
              <w:rPr>
                <w:noProof/>
                <w:color w:val="000000"/>
                <w:sz w:val="20"/>
              </w:rPr>
              <w:t>3</w:t>
            </w:r>
          </w:p>
        </w:tc>
        <w:tc>
          <w:tcPr>
            <w:tcW w:w="1157" w:type="dxa"/>
            <w:shd w:val="clear" w:color="auto" w:fill="auto"/>
          </w:tcPr>
          <w:p>
            <w:pPr>
              <w:spacing w:after="0"/>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glas) </w:t>
            </w:r>
          </w:p>
          <w:p>
            <w:pPr>
              <w:spacing w:after="0"/>
              <w:jc w:val="left"/>
              <w:rPr>
                <w:noProof/>
                <w:sz w:val="20"/>
              </w:rPr>
            </w:pPr>
          </w:p>
          <w:p>
            <w:pPr>
              <w:spacing w:after="0"/>
              <w:jc w:val="left"/>
              <w:rPr>
                <w:noProof/>
                <w:sz w:val="20"/>
              </w:rPr>
            </w:pPr>
            <w:r>
              <w:rPr>
                <w:noProof/>
                <w:sz w:val="20"/>
              </w:rPr>
              <w:t xml:space="preserve">FR </w:t>
            </w:r>
            <w:r>
              <w:rPr>
                <w:i/>
                <w:noProof/>
                <w:sz w:val="20"/>
              </w:rPr>
              <w:t>Sénat</w:t>
            </w:r>
            <w:r>
              <w:rPr>
                <w:noProof/>
                <w:sz w:val="20"/>
              </w:rPr>
              <w:t xml:space="preserve"> (1 glas) </w:t>
            </w:r>
          </w:p>
          <w:p>
            <w:pPr>
              <w:spacing w:after="0"/>
              <w:jc w:val="left"/>
              <w:rPr>
                <w:noProof/>
                <w:sz w:val="20"/>
              </w:rPr>
            </w:pPr>
          </w:p>
          <w:p>
            <w:pPr>
              <w:spacing w:after="0"/>
              <w:jc w:val="left"/>
              <w:rPr>
                <w:noProof/>
                <w:sz w:val="20"/>
              </w:rPr>
            </w:pPr>
            <w:r>
              <w:rPr>
                <w:noProof/>
                <w:color w:val="000000"/>
                <w:sz w:val="20"/>
              </w:rPr>
              <w:t xml:space="preserve">RO </w:t>
            </w:r>
            <w:r>
              <w:rPr>
                <w:i/>
                <w:noProof/>
                <w:color w:val="000000"/>
                <w:sz w:val="20"/>
              </w:rPr>
              <w:t>Senatul</w:t>
            </w:r>
            <w:r>
              <w:rPr>
                <w:noProof/>
                <w:color w:val="000000"/>
                <w:sz w:val="20"/>
              </w:rPr>
              <w:t xml:space="preserve"> </w:t>
            </w:r>
            <w:r>
              <w:rPr>
                <w:noProof/>
                <w:sz w:val="20"/>
              </w:rPr>
              <w:t xml:space="preserve">(1 glas) </w:t>
            </w:r>
          </w:p>
        </w:tc>
      </w:tr>
      <w:tr>
        <w:trPr>
          <w:cantSplit/>
        </w:trPr>
        <w:tc>
          <w:tcPr>
            <w:tcW w:w="414" w:type="dxa"/>
            <w:shd w:val="clear" w:color="auto" w:fill="auto"/>
          </w:tcPr>
          <w:p>
            <w:pPr>
              <w:spacing w:after="0"/>
              <w:jc w:val="left"/>
              <w:rPr>
                <w:noProof/>
                <w:sz w:val="20"/>
              </w:rPr>
            </w:pPr>
            <w:r>
              <w:rPr>
                <w:noProof/>
                <w:sz w:val="20"/>
              </w:rPr>
              <w:t>7</w:t>
            </w:r>
          </w:p>
        </w:tc>
        <w:tc>
          <w:tcPr>
            <w:tcW w:w="1977" w:type="dxa"/>
            <w:shd w:val="clear" w:color="auto" w:fill="auto"/>
          </w:tcPr>
          <w:p>
            <w:pPr>
              <w:spacing w:after="0"/>
              <w:jc w:val="left"/>
              <w:rPr>
                <w:noProof/>
                <w:color w:val="000000"/>
                <w:sz w:val="20"/>
              </w:rPr>
            </w:pPr>
            <w:r>
              <w:rPr>
                <w:noProof/>
                <w:color w:val="000000"/>
                <w:sz w:val="20"/>
              </w:rPr>
              <w:t>COM(2016) 765 final.</w:t>
            </w:r>
          </w:p>
        </w:tc>
        <w:tc>
          <w:tcPr>
            <w:tcW w:w="2811" w:type="dxa"/>
            <w:shd w:val="clear" w:color="auto" w:fill="auto"/>
          </w:tcPr>
          <w:p>
            <w:pPr>
              <w:spacing w:after="0"/>
              <w:jc w:val="left"/>
              <w:rPr>
                <w:noProof/>
                <w:color w:val="000000"/>
                <w:sz w:val="20"/>
              </w:rPr>
            </w:pPr>
            <w:r>
              <w:rPr>
                <w:noProof/>
                <w:color w:val="000000"/>
                <w:sz w:val="20"/>
              </w:rPr>
              <w:t xml:space="preserve">Predlog direktive Evropskega parlamenta in Sveta o spremembi Direktive 2010/31/EU o </w:t>
            </w:r>
            <w:r>
              <w:rPr>
                <w:b/>
                <w:noProof/>
                <w:color w:val="000000"/>
                <w:sz w:val="20"/>
              </w:rPr>
              <w:t>energetski učinkovitosti stavb</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NL </w:t>
            </w:r>
            <w:r>
              <w:rPr>
                <w:i/>
                <w:noProof/>
                <w:color w:val="000000"/>
                <w:sz w:val="20"/>
              </w:rPr>
              <w:t xml:space="preserve">Eerste Kamer </w:t>
            </w:r>
            <w:r>
              <w:rPr>
                <w:noProof/>
                <w:sz w:val="20"/>
              </w:rPr>
              <w:t xml:space="preserve">(1 glas) </w:t>
            </w:r>
          </w:p>
          <w:p>
            <w:pPr>
              <w:spacing w:after="0"/>
              <w:jc w:val="left"/>
              <w:rPr>
                <w:i/>
                <w:iCs/>
                <w:noProof/>
                <w:color w:val="000000"/>
                <w:sz w:val="20"/>
              </w:rPr>
            </w:pPr>
          </w:p>
          <w:p>
            <w:pPr>
              <w:spacing w:after="0"/>
              <w:jc w:val="left"/>
              <w:rPr>
                <w:noProof/>
                <w:sz w:val="20"/>
              </w:rPr>
            </w:pPr>
            <w:r>
              <w:rPr>
                <w:noProof/>
                <w:sz w:val="20"/>
              </w:rPr>
              <w:t xml:space="preserve">NL </w:t>
            </w:r>
            <w:r>
              <w:rPr>
                <w:i/>
                <w:noProof/>
                <w:color w:val="000000"/>
                <w:sz w:val="20"/>
              </w:rPr>
              <w:t xml:space="preserve">Tweede Kamer </w:t>
            </w:r>
            <w:r>
              <w:rPr>
                <w:noProof/>
                <w:sz w:val="20"/>
              </w:rPr>
              <w:t xml:space="preserve">(1 glas) </w:t>
            </w:r>
          </w:p>
          <w:p>
            <w:pPr>
              <w:spacing w:after="0"/>
              <w:jc w:val="left"/>
              <w:rPr>
                <w:noProof/>
                <w:sz w:val="20"/>
              </w:rPr>
            </w:pPr>
          </w:p>
          <w:p>
            <w:pPr>
              <w:spacing w:after="0"/>
              <w:jc w:val="left"/>
              <w:rPr>
                <w:noProof/>
                <w:sz w:val="20"/>
              </w:rPr>
            </w:pPr>
          </w:p>
        </w:tc>
      </w:tr>
      <w:tr>
        <w:trPr>
          <w:cantSplit/>
        </w:trPr>
        <w:tc>
          <w:tcPr>
            <w:tcW w:w="414" w:type="dxa"/>
            <w:shd w:val="clear" w:color="auto" w:fill="auto"/>
          </w:tcPr>
          <w:p>
            <w:pPr>
              <w:spacing w:after="0"/>
              <w:jc w:val="left"/>
              <w:rPr>
                <w:noProof/>
                <w:sz w:val="20"/>
              </w:rPr>
            </w:pPr>
            <w:r>
              <w:rPr>
                <w:noProof/>
                <w:sz w:val="20"/>
              </w:rPr>
              <w:t>8</w:t>
            </w:r>
          </w:p>
        </w:tc>
        <w:tc>
          <w:tcPr>
            <w:tcW w:w="1977" w:type="dxa"/>
            <w:shd w:val="clear" w:color="auto" w:fill="auto"/>
          </w:tcPr>
          <w:p>
            <w:pPr>
              <w:spacing w:after="0"/>
              <w:jc w:val="left"/>
              <w:rPr>
                <w:noProof/>
                <w:color w:val="000000"/>
                <w:sz w:val="20"/>
              </w:rPr>
            </w:pPr>
            <w:r>
              <w:rPr>
                <w:noProof/>
                <w:color w:val="000000"/>
                <w:sz w:val="20"/>
              </w:rPr>
              <w:t>COM(2016) 723 final.</w:t>
            </w:r>
          </w:p>
        </w:tc>
        <w:tc>
          <w:tcPr>
            <w:tcW w:w="2811" w:type="dxa"/>
            <w:shd w:val="clear" w:color="auto" w:fill="auto"/>
          </w:tcPr>
          <w:p>
            <w:pPr>
              <w:spacing w:after="0"/>
              <w:jc w:val="left"/>
              <w:rPr>
                <w:noProof/>
                <w:color w:val="000000"/>
                <w:sz w:val="20"/>
              </w:rPr>
            </w:pPr>
            <w:r>
              <w:rPr>
                <w:noProof/>
                <w:color w:val="000000"/>
                <w:sz w:val="20"/>
              </w:rPr>
              <w:t xml:space="preserve">Predlog direktive Evropskega parlamenta in Sveta o </w:t>
            </w:r>
            <w:r>
              <w:rPr>
                <w:b/>
                <w:noProof/>
                <w:color w:val="000000"/>
                <w:sz w:val="20"/>
              </w:rPr>
              <w:t>okvirih preventivnega prestrukturiranja, drugi priložnosti ter ukrepih za povečanje učinkovitosti postopkov prestrukturiranja, postopkov v primeru insolventnosti in postopkov za odpust dolgov</w:t>
            </w:r>
            <w:r>
              <w:rPr>
                <w:noProof/>
                <w:color w:val="000000"/>
                <w:sz w:val="20"/>
              </w:rPr>
              <w:t xml:space="preserve"> ter spremembi Direktive 2012/30/EU</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IE </w:t>
            </w:r>
            <w:r>
              <w:rPr>
                <w:i/>
                <w:noProof/>
                <w:color w:val="000000"/>
                <w:sz w:val="20"/>
              </w:rPr>
              <w:t xml:space="preserve">Seanad Éireann </w:t>
            </w:r>
            <w:r>
              <w:rPr>
                <w:noProof/>
                <w:sz w:val="20"/>
              </w:rPr>
              <w:t xml:space="preserve">(1 glas) </w:t>
            </w:r>
          </w:p>
          <w:p>
            <w:pPr>
              <w:spacing w:after="0"/>
              <w:jc w:val="left"/>
              <w:rPr>
                <w:noProof/>
                <w:sz w:val="20"/>
              </w:rPr>
            </w:pPr>
          </w:p>
          <w:p>
            <w:pPr>
              <w:spacing w:after="0"/>
              <w:jc w:val="left"/>
              <w:rPr>
                <w:noProof/>
                <w:sz w:val="20"/>
              </w:rPr>
            </w:pPr>
            <w:r>
              <w:rPr>
                <w:noProof/>
                <w:sz w:val="20"/>
              </w:rPr>
              <w:t xml:space="preserve">IE </w:t>
            </w:r>
            <w:r>
              <w:rPr>
                <w:i/>
                <w:noProof/>
                <w:color w:val="000000"/>
                <w:sz w:val="20"/>
              </w:rPr>
              <w:t>Dáil</w:t>
            </w:r>
            <w:r>
              <w:rPr>
                <w:noProof/>
                <w:color w:val="000000"/>
                <w:sz w:val="20"/>
              </w:rPr>
              <w:t xml:space="preserve"> </w:t>
            </w:r>
            <w:r>
              <w:rPr>
                <w:i/>
                <w:noProof/>
                <w:color w:val="000000"/>
                <w:sz w:val="20"/>
              </w:rPr>
              <w:t xml:space="preserve">Éireann </w:t>
            </w:r>
            <w:r>
              <w:rPr>
                <w:noProof/>
                <w:sz w:val="20"/>
              </w:rPr>
              <w:t>(1 glas)</w:t>
            </w:r>
          </w:p>
        </w:tc>
      </w:tr>
      <w:tr>
        <w:trPr>
          <w:cantSplit/>
        </w:trPr>
        <w:tc>
          <w:tcPr>
            <w:tcW w:w="414" w:type="dxa"/>
            <w:shd w:val="clear" w:color="auto" w:fill="auto"/>
          </w:tcPr>
          <w:p>
            <w:pPr>
              <w:spacing w:after="0"/>
              <w:jc w:val="left"/>
              <w:rPr>
                <w:noProof/>
                <w:sz w:val="20"/>
              </w:rPr>
            </w:pPr>
            <w:r>
              <w:rPr>
                <w:noProof/>
                <w:sz w:val="20"/>
              </w:rPr>
              <w:t>9</w:t>
            </w:r>
          </w:p>
        </w:tc>
        <w:tc>
          <w:tcPr>
            <w:tcW w:w="1977" w:type="dxa"/>
            <w:shd w:val="clear" w:color="auto" w:fill="auto"/>
          </w:tcPr>
          <w:p>
            <w:pPr>
              <w:spacing w:after="0"/>
              <w:jc w:val="left"/>
              <w:rPr>
                <w:noProof/>
                <w:color w:val="000000"/>
                <w:sz w:val="20"/>
              </w:rPr>
            </w:pPr>
            <w:r>
              <w:rPr>
                <w:noProof/>
                <w:color w:val="000000"/>
                <w:sz w:val="20"/>
              </w:rPr>
              <w:t>COM(2016) 823 final.</w:t>
            </w:r>
          </w:p>
        </w:tc>
        <w:tc>
          <w:tcPr>
            <w:tcW w:w="2811" w:type="dxa"/>
            <w:shd w:val="clear" w:color="auto" w:fill="auto"/>
          </w:tcPr>
          <w:p>
            <w:pPr>
              <w:spacing w:after="0"/>
              <w:jc w:val="left"/>
              <w:rPr>
                <w:noProof/>
                <w:color w:val="000000"/>
                <w:sz w:val="20"/>
              </w:rPr>
            </w:pPr>
            <w:r>
              <w:rPr>
                <w:noProof/>
                <w:color w:val="000000"/>
                <w:sz w:val="20"/>
              </w:rPr>
              <w:t xml:space="preserve">Predlog direktive Evropskega parlamenta in Sveta o </w:t>
            </w:r>
            <w:r>
              <w:rPr>
                <w:b/>
                <w:noProof/>
                <w:color w:val="000000"/>
                <w:sz w:val="20"/>
              </w:rPr>
              <w:t xml:space="preserve">pravnem in operativnem okviru evropske storitvene e-izkaznice </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glas)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glas) </w:t>
            </w:r>
          </w:p>
        </w:tc>
      </w:tr>
      <w:tr>
        <w:trPr>
          <w:cantSplit/>
        </w:trPr>
        <w:tc>
          <w:tcPr>
            <w:tcW w:w="414" w:type="dxa"/>
            <w:shd w:val="clear" w:color="auto" w:fill="auto"/>
          </w:tcPr>
          <w:p>
            <w:pPr>
              <w:spacing w:after="0"/>
              <w:jc w:val="left"/>
              <w:rPr>
                <w:noProof/>
                <w:sz w:val="20"/>
              </w:rPr>
            </w:pPr>
            <w:r>
              <w:rPr>
                <w:noProof/>
                <w:sz w:val="20"/>
              </w:rPr>
              <w:t>10</w:t>
            </w:r>
          </w:p>
        </w:tc>
        <w:tc>
          <w:tcPr>
            <w:tcW w:w="1977" w:type="dxa"/>
            <w:shd w:val="clear" w:color="auto" w:fill="auto"/>
          </w:tcPr>
          <w:p>
            <w:pPr>
              <w:spacing w:after="0"/>
              <w:jc w:val="left"/>
              <w:rPr>
                <w:noProof/>
                <w:color w:val="000000"/>
                <w:sz w:val="20"/>
              </w:rPr>
            </w:pPr>
            <w:r>
              <w:rPr>
                <w:noProof/>
                <w:color w:val="000000"/>
                <w:sz w:val="20"/>
              </w:rPr>
              <w:t>COM(2016) 824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w:t>
            </w:r>
            <w:r>
              <w:rPr>
                <w:b/>
                <w:noProof/>
                <w:color w:val="000000"/>
                <w:sz w:val="20"/>
              </w:rPr>
              <w:t>o uvedbi evropske storitvene e-izkaznice</w:t>
            </w:r>
            <w:r>
              <w:rPr>
                <w:noProof/>
                <w:color w:val="000000"/>
                <w:sz w:val="20"/>
              </w:rPr>
              <w:t xml:space="preserve"> in povezanih upravnih zmogljivosti</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glas)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glas)</w:t>
            </w:r>
          </w:p>
        </w:tc>
      </w:tr>
      <w:tr>
        <w:trPr>
          <w:cantSplit/>
        </w:trPr>
        <w:tc>
          <w:tcPr>
            <w:tcW w:w="414" w:type="dxa"/>
            <w:shd w:val="clear" w:color="auto" w:fill="auto"/>
          </w:tcPr>
          <w:p>
            <w:pPr>
              <w:spacing w:after="0"/>
              <w:jc w:val="left"/>
              <w:rPr>
                <w:noProof/>
                <w:sz w:val="20"/>
              </w:rPr>
            </w:pPr>
            <w:r>
              <w:rPr>
                <w:noProof/>
                <w:sz w:val="20"/>
              </w:rPr>
              <w:t>11</w:t>
            </w:r>
          </w:p>
        </w:tc>
        <w:tc>
          <w:tcPr>
            <w:tcW w:w="1977" w:type="dxa"/>
            <w:shd w:val="clear" w:color="auto" w:fill="auto"/>
          </w:tcPr>
          <w:p>
            <w:pPr>
              <w:spacing w:after="0"/>
              <w:jc w:val="left"/>
              <w:rPr>
                <w:noProof/>
                <w:color w:val="000000"/>
                <w:sz w:val="20"/>
              </w:rPr>
            </w:pPr>
            <w:r>
              <w:rPr>
                <w:noProof/>
                <w:color w:val="000000"/>
                <w:sz w:val="20"/>
              </w:rPr>
              <w:t>COM(2017) 647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o spremembi Uredbe (ES) št. 1073/2009 o </w:t>
            </w:r>
            <w:r>
              <w:rPr>
                <w:b/>
                <w:noProof/>
                <w:color w:val="000000"/>
                <w:sz w:val="20"/>
              </w:rPr>
              <w:t>skupnih pravilih za dostop do mednarodnega trga avtobusnih prevozov</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ES </w:t>
            </w:r>
            <w:r>
              <w:rPr>
                <w:i/>
                <w:noProof/>
                <w:sz w:val="20"/>
              </w:rPr>
              <w:t>Cortes Generales</w:t>
            </w:r>
            <w:r>
              <w:rPr>
                <w:noProof/>
                <w:sz w:val="20"/>
              </w:rPr>
              <w:t xml:space="preserve"> (2 glasova) </w:t>
            </w:r>
          </w:p>
          <w:p>
            <w:pPr>
              <w:spacing w:after="0"/>
              <w:jc w:val="left"/>
              <w:rPr>
                <w:noProof/>
                <w:sz w:val="20"/>
              </w:rPr>
            </w:pPr>
          </w:p>
          <w:p>
            <w:pPr>
              <w:spacing w:after="0"/>
              <w:jc w:val="left"/>
              <w:rPr>
                <w:noProof/>
                <w:sz w:val="20"/>
              </w:rPr>
            </w:pPr>
            <w:r>
              <w:rPr>
                <w:noProof/>
                <w:sz w:val="20"/>
              </w:rPr>
              <w:t xml:space="preserve">IE </w:t>
            </w:r>
            <w:r>
              <w:rPr>
                <w:i/>
                <w:noProof/>
                <w:sz w:val="20"/>
              </w:rPr>
              <w:t>Houses of the</w:t>
            </w:r>
            <w:r>
              <w:rPr>
                <w:noProof/>
                <w:sz w:val="20"/>
              </w:rPr>
              <w:t xml:space="preserve"> </w:t>
            </w:r>
            <w:r>
              <w:rPr>
                <w:i/>
                <w:noProof/>
                <w:sz w:val="20"/>
              </w:rPr>
              <w:t>Oireachtas</w:t>
            </w:r>
            <w:r>
              <w:rPr>
                <w:noProof/>
                <w:sz w:val="20"/>
              </w:rPr>
              <w:t xml:space="preserve"> (2 glasova)</w:t>
            </w:r>
          </w:p>
        </w:tc>
      </w:tr>
      <w:tr>
        <w:trPr>
          <w:cantSplit/>
        </w:trPr>
        <w:tc>
          <w:tcPr>
            <w:tcW w:w="414" w:type="dxa"/>
            <w:shd w:val="clear" w:color="auto" w:fill="auto"/>
          </w:tcPr>
          <w:p>
            <w:pPr>
              <w:spacing w:after="0"/>
              <w:jc w:val="left"/>
              <w:rPr>
                <w:noProof/>
                <w:sz w:val="20"/>
              </w:rPr>
            </w:pPr>
            <w:r>
              <w:rPr>
                <w:noProof/>
                <w:sz w:val="20"/>
              </w:rPr>
              <w:t>12</w:t>
            </w:r>
          </w:p>
        </w:tc>
        <w:tc>
          <w:tcPr>
            <w:tcW w:w="1977" w:type="dxa"/>
            <w:shd w:val="clear" w:color="auto" w:fill="auto"/>
          </w:tcPr>
          <w:p>
            <w:pPr>
              <w:spacing w:after="0"/>
              <w:jc w:val="left"/>
              <w:rPr>
                <w:noProof/>
                <w:color w:val="000000"/>
                <w:sz w:val="20"/>
              </w:rPr>
            </w:pPr>
            <w:r>
              <w:rPr>
                <w:noProof/>
                <w:color w:val="000000"/>
                <w:sz w:val="20"/>
              </w:rPr>
              <w:t>COM(2016) 815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o spremembi Uredbe (ES) št. 883/2004 o </w:t>
            </w:r>
            <w:r>
              <w:rPr>
                <w:b/>
                <w:noProof/>
                <w:color w:val="000000"/>
                <w:sz w:val="20"/>
              </w:rPr>
              <w:t>koordinaciji sistemov socialne varnosti</w:t>
            </w:r>
            <w:r>
              <w:rPr>
                <w:noProof/>
                <w:color w:val="000000"/>
                <w:sz w:val="20"/>
              </w:rPr>
              <w:t xml:space="preserve"> in Uredbe (ES) št. 987/2009 o določitvi podrobnih pravil za izvajanje Uredbe (ES) št. 883/2004</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glas)</w:t>
            </w:r>
          </w:p>
        </w:tc>
      </w:tr>
      <w:tr>
        <w:trPr>
          <w:cantSplit/>
        </w:trPr>
        <w:tc>
          <w:tcPr>
            <w:tcW w:w="414" w:type="dxa"/>
            <w:shd w:val="clear" w:color="auto" w:fill="auto"/>
          </w:tcPr>
          <w:p>
            <w:pPr>
              <w:spacing w:after="0"/>
              <w:jc w:val="left"/>
              <w:rPr>
                <w:noProof/>
                <w:sz w:val="20"/>
              </w:rPr>
            </w:pPr>
            <w:r>
              <w:rPr>
                <w:noProof/>
                <w:sz w:val="20"/>
              </w:rPr>
              <w:t>13</w:t>
            </w:r>
          </w:p>
        </w:tc>
        <w:tc>
          <w:tcPr>
            <w:tcW w:w="1977" w:type="dxa"/>
            <w:shd w:val="clear" w:color="auto" w:fill="auto"/>
          </w:tcPr>
          <w:p>
            <w:pPr>
              <w:spacing w:after="0"/>
              <w:jc w:val="left"/>
              <w:rPr>
                <w:noProof/>
                <w:color w:val="000000"/>
                <w:sz w:val="20"/>
              </w:rPr>
            </w:pPr>
            <w:r>
              <w:rPr>
                <w:noProof/>
                <w:color w:val="000000"/>
                <w:sz w:val="20"/>
              </w:rPr>
              <w:t>COM(2017) 275 final.</w:t>
            </w:r>
          </w:p>
        </w:tc>
        <w:tc>
          <w:tcPr>
            <w:tcW w:w="2811" w:type="dxa"/>
            <w:shd w:val="clear" w:color="auto" w:fill="auto"/>
          </w:tcPr>
          <w:p>
            <w:pPr>
              <w:spacing w:after="0"/>
              <w:jc w:val="left"/>
              <w:rPr>
                <w:noProof/>
                <w:color w:val="000000"/>
                <w:sz w:val="20"/>
              </w:rPr>
            </w:pPr>
            <w:r>
              <w:rPr>
                <w:noProof/>
                <w:color w:val="000000"/>
                <w:sz w:val="20"/>
              </w:rPr>
              <w:t xml:space="preserve">Predlog direktive Evropskega parlamenta in Sveta o spremembi Direktive 1999/62/ES o </w:t>
            </w:r>
            <w:r>
              <w:rPr>
                <w:b/>
                <w:noProof/>
                <w:color w:val="000000"/>
                <w:sz w:val="20"/>
              </w:rPr>
              <w:t>cestnih pristojbinah za uporabo določene infrastrukture za težka tovorna vozila</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rPr>
              <w:t xml:space="preserve">AT </w:t>
            </w:r>
            <w:r>
              <w:rPr>
                <w:i/>
                <w:noProof/>
                <w:sz w:val="20"/>
              </w:rPr>
              <w:t>Bundesrat</w:t>
            </w:r>
            <w:r>
              <w:rPr>
                <w:noProof/>
                <w:sz w:val="20"/>
              </w:rPr>
              <w:t xml:space="preserve"> (1 glas) </w:t>
            </w:r>
          </w:p>
        </w:tc>
      </w:tr>
      <w:tr>
        <w:trPr>
          <w:cantSplit/>
        </w:trPr>
        <w:tc>
          <w:tcPr>
            <w:tcW w:w="414" w:type="dxa"/>
            <w:shd w:val="clear" w:color="auto" w:fill="auto"/>
          </w:tcPr>
          <w:p>
            <w:pPr>
              <w:spacing w:after="0"/>
              <w:jc w:val="left"/>
              <w:rPr>
                <w:noProof/>
                <w:sz w:val="20"/>
              </w:rPr>
            </w:pPr>
            <w:r>
              <w:rPr>
                <w:noProof/>
                <w:sz w:val="20"/>
              </w:rPr>
              <w:t>14</w:t>
            </w:r>
          </w:p>
        </w:tc>
        <w:tc>
          <w:tcPr>
            <w:tcW w:w="1977" w:type="dxa"/>
            <w:shd w:val="clear" w:color="auto" w:fill="auto"/>
          </w:tcPr>
          <w:p>
            <w:pPr>
              <w:spacing w:after="0"/>
              <w:jc w:val="left"/>
              <w:rPr>
                <w:noProof/>
                <w:color w:val="000000"/>
                <w:sz w:val="20"/>
              </w:rPr>
            </w:pPr>
            <w:r>
              <w:rPr>
                <w:noProof/>
                <w:color w:val="000000"/>
                <w:sz w:val="20"/>
              </w:rPr>
              <w:t>COM(2017) 278 final.</w:t>
            </w:r>
          </w:p>
        </w:tc>
        <w:tc>
          <w:tcPr>
            <w:tcW w:w="2811" w:type="dxa"/>
            <w:shd w:val="clear" w:color="auto" w:fill="auto"/>
          </w:tcPr>
          <w:p>
            <w:pPr>
              <w:spacing w:after="0"/>
              <w:jc w:val="left"/>
              <w:rPr>
                <w:noProof/>
                <w:color w:val="000000"/>
                <w:sz w:val="20"/>
              </w:rPr>
            </w:pPr>
            <w:r>
              <w:rPr>
                <w:noProof/>
                <w:color w:val="000000"/>
                <w:sz w:val="20"/>
              </w:rPr>
              <w:t xml:space="preserve">Predlog direktive Evropskega parlamenta in Sveta o spremembi Direktive 2006/22/ES glede </w:t>
            </w:r>
            <w:r>
              <w:rPr>
                <w:b/>
                <w:noProof/>
                <w:color w:val="000000"/>
                <w:sz w:val="20"/>
              </w:rPr>
              <w:t>zahtev za izvrševanje</w:t>
            </w:r>
            <w:r>
              <w:rPr>
                <w:noProof/>
                <w:color w:val="000000"/>
                <w:sz w:val="20"/>
              </w:rPr>
              <w:t xml:space="preserve"> ter določitve posebnih pravil v zvezi z Direktivo 96/71/ES in Direktivo 2014/67/EU za </w:t>
            </w:r>
            <w:r>
              <w:rPr>
                <w:b/>
                <w:noProof/>
                <w:color w:val="000000"/>
                <w:sz w:val="20"/>
              </w:rPr>
              <w:t>napotitev delavcev v sektorju cestnega prometa</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rPr>
              <w:t xml:space="preserve">PL </w:t>
            </w:r>
            <w:r>
              <w:rPr>
                <w:i/>
                <w:noProof/>
                <w:sz w:val="20"/>
              </w:rPr>
              <w:t>Senat</w:t>
            </w:r>
            <w:r>
              <w:rPr>
                <w:noProof/>
                <w:sz w:val="20"/>
              </w:rPr>
              <w:t xml:space="preserve"> (1 glas) </w:t>
            </w:r>
          </w:p>
        </w:tc>
      </w:tr>
      <w:tr>
        <w:trPr>
          <w:cantSplit/>
        </w:trPr>
        <w:tc>
          <w:tcPr>
            <w:tcW w:w="414" w:type="dxa"/>
            <w:shd w:val="clear" w:color="auto" w:fill="auto"/>
          </w:tcPr>
          <w:p>
            <w:pPr>
              <w:spacing w:after="0"/>
              <w:jc w:val="left"/>
              <w:rPr>
                <w:noProof/>
                <w:sz w:val="20"/>
              </w:rPr>
            </w:pPr>
            <w:r>
              <w:rPr>
                <w:noProof/>
                <w:sz w:val="20"/>
              </w:rPr>
              <w:t>15</w:t>
            </w:r>
          </w:p>
        </w:tc>
        <w:tc>
          <w:tcPr>
            <w:tcW w:w="1977" w:type="dxa"/>
            <w:shd w:val="clear" w:color="auto" w:fill="auto"/>
          </w:tcPr>
          <w:p>
            <w:pPr>
              <w:spacing w:after="0"/>
              <w:jc w:val="left"/>
              <w:rPr>
                <w:noProof/>
                <w:color w:val="000000"/>
                <w:sz w:val="20"/>
              </w:rPr>
            </w:pPr>
            <w:r>
              <w:rPr>
                <w:noProof/>
                <w:color w:val="000000"/>
                <w:sz w:val="20"/>
              </w:rPr>
              <w:t>COM(2016) 750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o </w:t>
            </w:r>
            <w:r>
              <w:rPr>
                <w:b/>
                <w:noProof/>
                <w:color w:val="000000"/>
                <w:sz w:val="20"/>
              </w:rPr>
              <w:t>opredelitvi, predstavitvi in označevanju žganih pijač, uporabi imen žganih pijač pri predstavitvi in označevanju drugih živil ter zaščiti geografskih označb žganih pijač</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IT </w:t>
            </w:r>
            <w:r>
              <w:rPr>
                <w:i/>
                <w:noProof/>
                <w:color w:val="000000"/>
                <w:sz w:val="20"/>
              </w:rPr>
              <w:t>Senato della Repubblica</w:t>
            </w:r>
            <w:r>
              <w:rPr>
                <w:i/>
                <w:iCs/>
                <w:noProof/>
                <w:color w:val="000000"/>
                <w:sz w:val="20"/>
              </w:rPr>
              <w:br/>
            </w:r>
            <w:r>
              <w:rPr>
                <w:noProof/>
                <w:sz w:val="20"/>
              </w:rPr>
              <w:t xml:space="preserve">(1 glas) </w:t>
            </w:r>
          </w:p>
        </w:tc>
      </w:tr>
      <w:tr>
        <w:trPr>
          <w:cantSplit/>
        </w:trPr>
        <w:tc>
          <w:tcPr>
            <w:tcW w:w="414" w:type="dxa"/>
            <w:shd w:val="clear" w:color="auto" w:fill="auto"/>
          </w:tcPr>
          <w:p>
            <w:pPr>
              <w:spacing w:after="0"/>
              <w:jc w:val="left"/>
              <w:rPr>
                <w:noProof/>
                <w:sz w:val="20"/>
              </w:rPr>
            </w:pPr>
            <w:r>
              <w:rPr>
                <w:noProof/>
                <w:sz w:val="20"/>
              </w:rPr>
              <w:t>16</w:t>
            </w:r>
          </w:p>
        </w:tc>
        <w:tc>
          <w:tcPr>
            <w:tcW w:w="1977" w:type="dxa"/>
            <w:shd w:val="clear" w:color="auto" w:fill="auto"/>
          </w:tcPr>
          <w:p>
            <w:pPr>
              <w:spacing w:after="0"/>
              <w:jc w:val="left"/>
              <w:rPr>
                <w:noProof/>
                <w:color w:val="000000"/>
                <w:sz w:val="20"/>
              </w:rPr>
            </w:pPr>
            <w:r>
              <w:rPr>
                <w:noProof/>
                <w:color w:val="000000"/>
                <w:sz w:val="20"/>
              </w:rPr>
              <w:t>COM(2017) 477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o </w:t>
            </w:r>
            <w:r>
              <w:rPr>
                <w:b/>
                <w:noProof/>
                <w:color w:val="000000"/>
                <w:sz w:val="20"/>
              </w:rPr>
              <w:t>Agenciji EU za kibernetsko varnost</w:t>
            </w:r>
            <w:r>
              <w:rPr>
                <w:noProof/>
                <w:color w:val="000000"/>
                <w:sz w:val="20"/>
              </w:rPr>
              <w:t xml:space="preserve"> ENISA in razveljavitvi Uredbe (EU) št. 526/2013 ter certificiranju informacijske in komunikacijske tehnologije na področju kibernetske varnosti (</w:t>
            </w:r>
            <w:r>
              <w:rPr>
                <w:b/>
                <w:noProof/>
                <w:color w:val="000000"/>
                <w:sz w:val="20"/>
              </w:rPr>
              <w:t>uredba o kibernetski varnosti</w:t>
            </w:r>
            <w:r>
              <w:rPr>
                <w:noProof/>
                <w:color w:val="000000"/>
                <w:sz w:val="20"/>
              </w:rPr>
              <w:t xml:space="preserve">). </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glas) </w:t>
            </w:r>
          </w:p>
        </w:tc>
      </w:tr>
      <w:tr>
        <w:trPr>
          <w:cantSplit/>
        </w:trPr>
        <w:tc>
          <w:tcPr>
            <w:tcW w:w="414" w:type="dxa"/>
            <w:shd w:val="clear" w:color="auto" w:fill="auto"/>
          </w:tcPr>
          <w:p>
            <w:pPr>
              <w:spacing w:after="0"/>
              <w:jc w:val="left"/>
              <w:rPr>
                <w:noProof/>
                <w:sz w:val="20"/>
              </w:rPr>
            </w:pPr>
            <w:r>
              <w:rPr>
                <w:noProof/>
                <w:sz w:val="20"/>
              </w:rPr>
              <w:t>17</w:t>
            </w:r>
          </w:p>
        </w:tc>
        <w:tc>
          <w:tcPr>
            <w:tcW w:w="1977" w:type="dxa"/>
            <w:shd w:val="clear" w:color="auto" w:fill="auto"/>
          </w:tcPr>
          <w:p>
            <w:pPr>
              <w:spacing w:after="0"/>
              <w:jc w:val="left"/>
              <w:rPr>
                <w:noProof/>
                <w:color w:val="000000"/>
                <w:sz w:val="20"/>
              </w:rPr>
            </w:pPr>
            <w:r>
              <w:rPr>
                <w:noProof/>
                <w:color w:val="000000"/>
                <w:sz w:val="20"/>
              </w:rPr>
              <w:t>COM(2017) 495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o </w:t>
            </w:r>
            <w:r>
              <w:rPr>
                <w:b/>
                <w:noProof/>
                <w:color w:val="000000"/>
                <w:sz w:val="20"/>
              </w:rPr>
              <w:t>okviru za prosti pretok neosebnih podatkov v Evropski uniji</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glas) </w:t>
            </w:r>
          </w:p>
        </w:tc>
      </w:tr>
      <w:tr>
        <w:trPr>
          <w:cantSplit/>
        </w:trPr>
        <w:tc>
          <w:tcPr>
            <w:tcW w:w="414" w:type="dxa"/>
            <w:shd w:val="clear" w:color="auto" w:fill="auto"/>
          </w:tcPr>
          <w:p>
            <w:pPr>
              <w:spacing w:after="0"/>
              <w:jc w:val="left"/>
              <w:rPr>
                <w:noProof/>
                <w:sz w:val="20"/>
              </w:rPr>
            </w:pPr>
            <w:r>
              <w:rPr>
                <w:noProof/>
                <w:sz w:val="20"/>
              </w:rPr>
              <w:t>18</w:t>
            </w:r>
          </w:p>
        </w:tc>
        <w:tc>
          <w:tcPr>
            <w:tcW w:w="1977" w:type="dxa"/>
            <w:shd w:val="clear" w:color="auto" w:fill="auto"/>
          </w:tcPr>
          <w:p>
            <w:pPr>
              <w:spacing w:after="0"/>
              <w:jc w:val="left"/>
              <w:rPr>
                <w:noProof/>
                <w:color w:val="000000"/>
                <w:sz w:val="20"/>
              </w:rPr>
            </w:pPr>
            <w:r>
              <w:rPr>
                <w:noProof/>
                <w:color w:val="000000"/>
                <w:sz w:val="20"/>
              </w:rPr>
              <w:t>COM(2016) 850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o spremembi Uredbe (EU) št. 575/2013 v zvezi s </w:t>
            </w:r>
            <w:r>
              <w:rPr>
                <w:b/>
                <w:noProof/>
                <w:color w:val="000000"/>
                <w:sz w:val="20"/>
              </w:rPr>
              <w:t>količnikom finančnega vzvoda, količnikom neto stabilnega financiranja, zahtevami glede kapitala in kvalificiranih obveznosti, kreditnim tveganjem nasprotne stranke, tržnim tveganjem, izpostavljenostmi do centralnih nasprotnih strank, izpostavljenostmi do kolektivnih naložbenih podjemov, velikimi izpostavljenostmi, zahtevami glede poročanja in zahtevami po razkritju</w:t>
            </w:r>
            <w:r>
              <w:rPr>
                <w:noProof/>
                <w:color w:val="000000"/>
                <w:sz w:val="20"/>
              </w:rPr>
              <w:t xml:space="preserve"> ter o spremembi Uredbe (EU) št. 648/2012.</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noProof/>
                <w:sz w:val="20"/>
              </w:rPr>
              <w:t>Riksdag</w:t>
            </w:r>
            <w:r>
              <w:rPr>
                <w:noProof/>
                <w:sz w:val="20"/>
              </w:rPr>
              <w:t xml:space="preserve"> (2 glasova) </w:t>
            </w:r>
          </w:p>
        </w:tc>
      </w:tr>
      <w:tr>
        <w:trPr>
          <w:cantSplit/>
        </w:trPr>
        <w:tc>
          <w:tcPr>
            <w:tcW w:w="414" w:type="dxa"/>
            <w:shd w:val="clear" w:color="auto" w:fill="auto"/>
          </w:tcPr>
          <w:p>
            <w:pPr>
              <w:spacing w:after="0"/>
              <w:jc w:val="left"/>
              <w:rPr>
                <w:noProof/>
                <w:sz w:val="20"/>
              </w:rPr>
            </w:pPr>
            <w:r>
              <w:rPr>
                <w:noProof/>
                <w:sz w:val="20"/>
              </w:rPr>
              <w:t>19</w:t>
            </w:r>
          </w:p>
        </w:tc>
        <w:tc>
          <w:tcPr>
            <w:tcW w:w="1977" w:type="dxa"/>
            <w:shd w:val="clear" w:color="auto" w:fill="auto"/>
          </w:tcPr>
          <w:p>
            <w:pPr>
              <w:spacing w:after="0"/>
              <w:jc w:val="left"/>
              <w:rPr>
                <w:noProof/>
                <w:color w:val="000000"/>
                <w:sz w:val="20"/>
              </w:rPr>
            </w:pPr>
            <w:r>
              <w:rPr>
                <w:noProof/>
                <w:color w:val="000000"/>
                <w:sz w:val="20"/>
              </w:rPr>
              <w:t>COM(2016) 854 final.</w:t>
            </w:r>
          </w:p>
        </w:tc>
        <w:tc>
          <w:tcPr>
            <w:tcW w:w="2811" w:type="dxa"/>
            <w:shd w:val="clear" w:color="auto" w:fill="auto"/>
          </w:tcPr>
          <w:p>
            <w:pPr>
              <w:spacing w:after="0"/>
              <w:jc w:val="left"/>
              <w:rPr>
                <w:noProof/>
                <w:color w:val="000000"/>
                <w:sz w:val="20"/>
              </w:rPr>
            </w:pPr>
            <w:r>
              <w:rPr>
                <w:noProof/>
                <w:color w:val="000000"/>
                <w:sz w:val="20"/>
              </w:rPr>
              <w:t xml:space="preserve">Predlog direktive Evropskega parlamenta in Sveta o spremembi Direktive 2013/36/EU v zvezi z </w:t>
            </w:r>
            <w:r>
              <w:rPr>
                <w:b/>
                <w:noProof/>
                <w:color w:val="000000"/>
                <w:sz w:val="20"/>
              </w:rPr>
              <w:t>izvzetimi subjekti, finančnimi holdingi, mešanimi finančnimi holdingi, prejemki, nadzorniškimi ukrepi in pooblastili ter ukrepi za ohranitev kapitala</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2</w:t>
            </w:r>
          </w:p>
        </w:tc>
        <w:tc>
          <w:tcPr>
            <w:tcW w:w="3022" w:type="dxa"/>
            <w:shd w:val="clear" w:color="auto" w:fill="auto"/>
          </w:tcPr>
          <w:p>
            <w:pPr>
              <w:spacing w:after="0"/>
              <w:jc w:val="left"/>
              <w:rPr>
                <w:noProof/>
                <w:sz w:val="20"/>
              </w:rPr>
            </w:pPr>
            <w:r>
              <w:rPr>
                <w:noProof/>
                <w:sz w:val="20"/>
              </w:rPr>
              <w:t xml:space="preserve">SE </w:t>
            </w:r>
            <w:r>
              <w:rPr>
                <w:i/>
                <w:noProof/>
                <w:color w:val="000000"/>
                <w:sz w:val="20"/>
              </w:rPr>
              <w:t>Riksdag</w:t>
            </w:r>
            <w:r>
              <w:rPr>
                <w:noProof/>
                <w:color w:val="000000"/>
                <w:sz w:val="20"/>
              </w:rPr>
              <w:t xml:space="preserve"> </w:t>
            </w:r>
            <w:r>
              <w:rPr>
                <w:noProof/>
                <w:sz w:val="20"/>
              </w:rPr>
              <w:t xml:space="preserve">(2 glasova) </w:t>
            </w:r>
          </w:p>
        </w:tc>
      </w:tr>
      <w:tr>
        <w:trPr>
          <w:cantSplit/>
        </w:trPr>
        <w:tc>
          <w:tcPr>
            <w:tcW w:w="414" w:type="dxa"/>
            <w:shd w:val="clear" w:color="auto" w:fill="auto"/>
          </w:tcPr>
          <w:p>
            <w:pPr>
              <w:spacing w:after="0"/>
              <w:jc w:val="left"/>
              <w:rPr>
                <w:noProof/>
                <w:sz w:val="20"/>
              </w:rPr>
            </w:pPr>
            <w:r>
              <w:rPr>
                <w:noProof/>
                <w:sz w:val="20"/>
              </w:rPr>
              <w:t>20</w:t>
            </w:r>
          </w:p>
        </w:tc>
        <w:tc>
          <w:tcPr>
            <w:tcW w:w="1977" w:type="dxa"/>
            <w:shd w:val="clear" w:color="auto" w:fill="auto"/>
          </w:tcPr>
          <w:p>
            <w:pPr>
              <w:spacing w:after="0"/>
              <w:jc w:val="left"/>
              <w:rPr>
                <w:noProof/>
                <w:color w:val="000000"/>
                <w:sz w:val="20"/>
              </w:rPr>
            </w:pPr>
            <w:r>
              <w:rPr>
                <w:noProof/>
                <w:color w:val="000000"/>
                <w:sz w:val="20"/>
              </w:rPr>
              <w:t>COM(2017) 331 final.</w:t>
            </w:r>
          </w:p>
        </w:tc>
        <w:tc>
          <w:tcPr>
            <w:tcW w:w="2811" w:type="dxa"/>
            <w:shd w:val="clear" w:color="auto" w:fill="auto"/>
          </w:tcPr>
          <w:p>
            <w:pPr>
              <w:spacing w:after="0"/>
              <w:jc w:val="left"/>
              <w:rPr>
                <w:noProof/>
                <w:color w:val="000000"/>
                <w:sz w:val="20"/>
              </w:rPr>
            </w:pPr>
            <w:r>
              <w:rPr>
                <w:noProof/>
                <w:color w:val="000000"/>
                <w:sz w:val="20"/>
              </w:rPr>
              <w:t xml:space="preserve">Predlog uredbe Evropskega parlamenta in Sveta o spremembi Uredbe (EU) št. 1095/2010 o ustanovitvi evropskega nadzornega organa (Evropski organ za vrednostne papirje in trge) in o spremembi Uredbe (EU) št. 648/2012 zvezi s </w:t>
            </w:r>
            <w:r>
              <w:rPr>
                <w:b/>
                <w:noProof/>
                <w:color w:val="000000"/>
                <w:sz w:val="20"/>
              </w:rPr>
              <w:t>postopki in organi, ki sodelujejo pri izdaji dovoljenja CNS, in zahtevami za priznanje CNS iz tretjih držav</w:t>
            </w:r>
            <w:r>
              <w:rPr>
                <w:noProof/>
                <w:color w:val="000000"/>
                <w:sz w:val="20"/>
              </w:rPr>
              <w:t>.</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noProof/>
                <w:color w:val="000000"/>
                <w:sz w:val="20"/>
              </w:rPr>
              <w:t>Riksdag</w:t>
            </w:r>
            <w:r>
              <w:rPr>
                <w:noProof/>
                <w:sz w:val="20"/>
              </w:rPr>
              <w:t xml:space="preserve"> (2 glasova) </w:t>
            </w:r>
          </w:p>
        </w:tc>
      </w:tr>
      <w:tr>
        <w:trPr>
          <w:cantSplit/>
        </w:trPr>
        <w:tc>
          <w:tcPr>
            <w:tcW w:w="414" w:type="dxa"/>
            <w:shd w:val="clear" w:color="auto" w:fill="auto"/>
          </w:tcPr>
          <w:p>
            <w:pPr>
              <w:spacing w:after="0"/>
              <w:jc w:val="left"/>
              <w:rPr>
                <w:noProof/>
                <w:sz w:val="20"/>
              </w:rPr>
            </w:pPr>
            <w:r>
              <w:rPr>
                <w:noProof/>
                <w:sz w:val="20"/>
              </w:rPr>
              <w:t>21</w:t>
            </w:r>
          </w:p>
        </w:tc>
        <w:tc>
          <w:tcPr>
            <w:tcW w:w="1977" w:type="dxa"/>
            <w:shd w:val="clear" w:color="auto" w:fill="auto"/>
          </w:tcPr>
          <w:p>
            <w:pPr>
              <w:spacing w:after="0"/>
              <w:jc w:val="left"/>
              <w:rPr>
                <w:noProof/>
                <w:color w:val="000000"/>
                <w:sz w:val="20"/>
              </w:rPr>
            </w:pPr>
            <w:r>
              <w:rPr>
                <w:noProof/>
                <w:color w:val="000000"/>
                <w:sz w:val="20"/>
              </w:rPr>
              <w:t>COM(2017) 536 final.</w:t>
            </w:r>
          </w:p>
        </w:tc>
        <w:tc>
          <w:tcPr>
            <w:tcW w:w="2811" w:type="dxa"/>
            <w:shd w:val="clear" w:color="auto" w:fill="auto"/>
          </w:tcPr>
          <w:p>
            <w:pPr>
              <w:spacing w:after="0"/>
              <w:jc w:val="left"/>
              <w:rPr>
                <w:b/>
                <w:bCs/>
                <w:noProof/>
                <w:color w:val="000000"/>
                <w:sz w:val="20"/>
              </w:rPr>
            </w:pPr>
            <w:r>
              <w:rPr>
                <w:noProof/>
                <w:color w:val="000000"/>
                <w:sz w:val="20"/>
              </w:rPr>
              <w:t xml:space="preserve">Predlog uredbe Evropskega parlamenta in Sveta o spremembi Uredbe (EU) št. 1093/2010, Uredbe (EU) št. 1094/2010, Uredbe (EU) št. 1095/2010, Uredbe (EU) št. 345/2013, Uredbe (EU) št. 346/2013, Uredbe (EU) št. 600/2014, Uredbe (EU) 2015/760, Uredbe (EU) 2016/1011 in Uredbe (EU) 2017/1129 (predlogi za </w:t>
            </w:r>
            <w:r>
              <w:rPr>
                <w:b/>
                <w:noProof/>
                <w:color w:val="000000"/>
                <w:sz w:val="20"/>
              </w:rPr>
              <w:t>okrepitev reforme nadzorne strukture</w:t>
            </w:r>
          </w:p>
          <w:p>
            <w:pPr>
              <w:spacing w:after="0"/>
              <w:jc w:val="left"/>
              <w:rPr>
                <w:noProof/>
                <w:color w:val="000000"/>
                <w:sz w:val="20"/>
              </w:rPr>
            </w:pPr>
            <w:r>
              <w:rPr>
                <w:b/>
                <w:noProof/>
                <w:color w:val="000000"/>
                <w:sz w:val="20"/>
              </w:rPr>
              <w:t>Evropske unije</w:t>
            </w:r>
            <w:r>
              <w:rPr>
                <w:noProof/>
              </w:rPr>
              <w:t>)</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noProof/>
                <w:color w:val="000000"/>
                <w:sz w:val="20"/>
              </w:rPr>
              <w:t xml:space="preserve">Riksdag </w:t>
            </w:r>
            <w:r>
              <w:rPr>
                <w:noProof/>
                <w:sz w:val="20"/>
              </w:rPr>
              <w:t xml:space="preserve">(2 glasova) </w:t>
            </w:r>
          </w:p>
        </w:tc>
      </w:tr>
      <w:tr>
        <w:trPr>
          <w:cantSplit/>
        </w:trPr>
        <w:tc>
          <w:tcPr>
            <w:tcW w:w="414" w:type="dxa"/>
            <w:shd w:val="clear" w:color="auto" w:fill="auto"/>
          </w:tcPr>
          <w:p>
            <w:pPr>
              <w:spacing w:after="0"/>
              <w:jc w:val="left"/>
              <w:rPr>
                <w:noProof/>
                <w:sz w:val="20"/>
              </w:rPr>
            </w:pPr>
            <w:r>
              <w:rPr>
                <w:noProof/>
                <w:sz w:val="20"/>
              </w:rPr>
              <w:t>22</w:t>
            </w:r>
          </w:p>
        </w:tc>
        <w:tc>
          <w:tcPr>
            <w:tcW w:w="1977" w:type="dxa"/>
            <w:shd w:val="clear" w:color="auto" w:fill="auto"/>
          </w:tcPr>
          <w:p>
            <w:pPr>
              <w:spacing w:after="0"/>
              <w:jc w:val="left"/>
              <w:rPr>
                <w:noProof/>
                <w:color w:val="000000"/>
                <w:sz w:val="20"/>
              </w:rPr>
            </w:pPr>
            <w:r>
              <w:rPr>
                <w:noProof/>
                <w:color w:val="000000"/>
                <w:sz w:val="20"/>
              </w:rPr>
              <w:t>COM(2016) 683 final.</w:t>
            </w:r>
          </w:p>
        </w:tc>
        <w:tc>
          <w:tcPr>
            <w:tcW w:w="2811" w:type="dxa"/>
            <w:shd w:val="clear" w:color="auto" w:fill="auto"/>
          </w:tcPr>
          <w:p>
            <w:pPr>
              <w:spacing w:after="0"/>
              <w:jc w:val="left"/>
              <w:rPr>
                <w:noProof/>
                <w:color w:val="000000"/>
                <w:sz w:val="20"/>
              </w:rPr>
            </w:pPr>
            <w:r>
              <w:rPr>
                <w:noProof/>
                <w:color w:val="000000"/>
                <w:sz w:val="20"/>
              </w:rPr>
              <w:t xml:space="preserve">Predlog direktive Sveta o </w:t>
            </w:r>
            <w:r>
              <w:rPr>
                <w:b/>
                <w:noProof/>
                <w:color w:val="000000"/>
                <w:sz w:val="20"/>
              </w:rPr>
              <w:t>skupni konsolidirani osnovi za davek od dohodkov pravnih oseb</w:t>
            </w:r>
            <w:r>
              <w:rPr>
                <w:noProof/>
                <w:color w:val="000000"/>
                <w:sz w:val="20"/>
              </w:rPr>
              <w:t xml:space="preserve"> </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UK </w:t>
            </w:r>
            <w:r>
              <w:rPr>
                <w:i/>
                <w:noProof/>
                <w:sz w:val="20"/>
              </w:rPr>
              <w:t>House of Commons</w:t>
            </w:r>
            <w:r>
              <w:rPr>
                <w:noProof/>
                <w:sz w:val="20"/>
              </w:rPr>
              <w:t xml:space="preserve"> (1 glas) </w:t>
            </w:r>
          </w:p>
        </w:tc>
      </w:tr>
      <w:tr>
        <w:trPr>
          <w:cantSplit/>
        </w:trPr>
        <w:tc>
          <w:tcPr>
            <w:tcW w:w="414" w:type="dxa"/>
            <w:shd w:val="clear" w:color="auto" w:fill="auto"/>
          </w:tcPr>
          <w:p>
            <w:pPr>
              <w:spacing w:after="0"/>
              <w:jc w:val="left"/>
              <w:rPr>
                <w:noProof/>
                <w:sz w:val="20"/>
              </w:rPr>
            </w:pPr>
            <w:r>
              <w:rPr>
                <w:noProof/>
                <w:sz w:val="20"/>
              </w:rPr>
              <w:t>23</w:t>
            </w:r>
          </w:p>
        </w:tc>
        <w:tc>
          <w:tcPr>
            <w:tcW w:w="1977" w:type="dxa"/>
            <w:shd w:val="clear" w:color="auto" w:fill="auto"/>
          </w:tcPr>
          <w:p>
            <w:pPr>
              <w:spacing w:after="0"/>
              <w:jc w:val="left"/>
              <w:rPr>
                <w:noProof/>
                <w:color w:val="000000"/>
                <w:sz w:val="20"/>
              </w:rPr>
            </w:pPr>
            <w:r>
              <w:rPr>
                <w:noProof/>
                <w:color w:val="000000"/>
                <w:sz w:val="20"/>
              </w:rPr>
              <w:t>COM(2016) 685 final.</w:t>
            </w:r>
          </w:p>
        </w:tc>
        <w:tc>
          <w:tcPr>
            <w:tcW w:w="2811" w:type="dxa"/>
            <w:shd w:val="clear" w:color="auto" w:fill="auto"/>
          </w:tcPr>
          <w:p>
            <w:pPr>
              <w:spacing w:after="0"/>
              <w:jc w:val="left"/>
              <w:rPr>
                <w:noProof/>
                <w:color w:val="000000"/>
                <w:sz w:val="20"/>
              </w:rPr>
            </w:pPr>
            <w:r>
              <w:rPr>
                <w:noProof/>
                <w:color w:val="000000"/>
                <w:sz w:val="20"/>
              </w:rPr>
              <w:t xml:space="preserve">Predlog direktive Sveta o </w:t>
            </w:r>
            <w:r>
              <w:rPr>
                <w:b/>
                <w:noProof/>
                <w:color w:val="000000"/>
                <w:sz w:val="20"/>
              </w:rPr>
              <w:t>skupni osnovi za davek od dohodkov pravnih oseb</w:t>
            </w:r>
          </w:p>
        </w:tc>
        <w:tc>
          <w:tcPr>
            <w:tcW w:w="1207" w:type="dxa"/>
            <w:tcBorders>
              <w:bottom w:val="single" w:sz="4" w:space="0" w:color="auto"/>
            </w:tcBorders>
            <w:shd w:val="clear" w:color="auto" w:fill="auto"/>
          </w:tcPr>
          <w:p>
            <w:pPr>
              <w:spacing w:after="0"/>
              <w:jc w:val="center"/>
              <w:rPr>
                <w:noProof/>
                <w:sz w:val="20"/>
              </w:rPr>
            </w:pPr>
            <w:r>
              <w:rPr>
                <w:noProof/>
                <w:sz w:val="20"/>
              </w:rPr>
              <w:t>1</w:t>
            </w:r>
          </w:p>
        </w:tc>
        <w:tc>
          <w:tcPr>
            <w:tcW w:w="1157" w:type="dxa"/>
            <w:tcBorders>
              <w:bottom w:val="single" w:sz="4" w:space="0" w:color="auto"/>
            </w:tcBorders>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UK </w:t>
            </w:r>
            <w:r>
              <w:rPr>
                <w:i/>
                <w:noProof/>
                <w:sz w:val="20"/>
              </w:rPr>
              <w:t>House of Commons</w:t>
            </w:r>
            <w:r>
              <w:rPr>
                <w:noProof/>
                <w:sz w:val="20"/>
              </w:rPr>
              <w:t xml:space="preserve"> (1 glas) </w:t>
            </w:r>
          </w:p>
        </w:tc>
      </w:tr>
      <w:tr>
        <w:trPr>
          <w:cantSplit/>
        </w:trPr>
        <w:tc>
          <w:tcPr>
            <w:tcW w:w="5202" w:type="dxa"/>
            <w:gridSpan w:val="3"/>
            <w:shd w:val="clear" w:color="auto" w:fill="auto"/>
          </w:tcPr>
          <w:p>
            <w:pPr>
              <w:spacing w:after="0"/>
              <w:jc w:val="left"/>
              <w:rPr>
                <w:noProof/>
                <w:color w:val="000000"/>
                <w:sz w:val="20"/>
              </w:rPr>
            </w:pPr>
            <w:r>
              <w:rPr>
                <w:b/>
                <w:noProof/>
                <w:sz w:val="20"/>
              </w:rPr>
              <w:t>SKUPNO število prejetih obrazloženih mnenj</w:t>
            </w:r>
          </w:p>
        </w:tc>
        <w:tc>
          <w:tcPr>
            <w:tcW w:w="1207" w:type="dxa"/>
            <w:tcBorders>
              <w:right w:val="nil"/>
            </w:tcBorders>
            <w:shd w:val="clear" w:color="auto" w:fill="auto"/>
          </w:tcPr>
          <w:p>
            <w:pPr>
              <w:spacing w:after="0"/>
              <w:jc w:val="center"/>
              <w:rPr>
                <w:b/>
                <w:noProof/>
                <w:sz w:val="20"/>
              </w:rPr>
            </w:pPr>
            <w:r>
              <w:rPr>
                <w:b/>
                <w:noProof/>
                <w:sz w:val="20"/>
              </w:rPr>
              <w:t>52</w:t>
            </w:r>
          </w:p>
        </w:tc>
        <w:tc>
          <w:tcPr>
            <w:tcW w:w="1157" w:type="dxa"/>
            <w:tcBorders>
              <w:left w:val="nil"/>
              <w:right w:val="nil"/>
            </w:tcBorders>
            <w:shd w:val="clear" w:color="auto" w:fill="auto"/>
          </w:tcPr>
          <w:p>
            <w:pPr>
              <w:spacing w:after="0"/>
              <w:jc w:val="center"/>
              <w:rPr>
                <w:noProof/>
                <w:sz w:val="20"/>
              </w:rPr>
            </w:pPr>
          </w:p>
        </w:tc>
        <w:tc>
          <w:tcPr>
            <w:tcW w:w="3022" w:type="dxa"/>
            <w:tcBorders>
              <w:left w:val="nil"/>
              <w:bottom w:val="single" w:sz="4" w:space="0" w:color="auto"/>
            </w:tcBorders>
            <w:shd w:val="clear" w:color="auto" w:fill="auto"/>
          </w:tcPr>
          <w:p>
            <w:pPr>
              <w:spacing w:after="0"/>
              <w:jc w:val="left"/>
              <w:rPr>
                <w:noProof/>
                <w:sz w:val="20"/>
              </w:rPr>
            </w:pPr>
          </w:p>
        </w:tc>
      </w:tr>
    </w:tbl>
    <w:p>
      <w:pPr>
        <w:spacing w:after="0"/>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code="9"/>
      <w:pgMar w:top="1021" w:right="1191" w:bottom="1021" w:left="1191" w:header="60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05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tabs>
          <w:tab w:val="left" w:pos="284"/>
        </w:tabs>
        <w:ind w:left="284" w:hanging="284"/>
        <w:rPr>
          <w:rFonts w:asciiTheme="majorBidi" w:hAnsiTheme="majorBidi" w:cstheme="majorBidi"/>
        </w:rPr>
      </w:pPr>
      <w:r>
        <w:rPr>
          <w:rStyle w:val="FootnoteReference"/>
        </w:rPr>
        <w:footnoteRef/>
      </w:r>
      <w:r>
        <w:rPr>
          <w:rFonts w:asciiTheme="majorBidi" w:hAnsiTheme="majorBidi" w:cstheme="majorBidi"/>
        </w:rPr>
        <w:t xml:space="preserve"> </w:t>
      </w:r>
      <w:r>
        <w:tab/>
      </w:r>
      <w:r>
        <w:rPr>
          <w:rFonts w:asciiTheme="majorBidi" w:hAnsiTheme="majorBidi" w:cstheme="majorBidi"/>
        </w:rPr>
        <w:t>Da se lahko mnenje obravnava kot obrazloženo mnenje v skladu z opredelitvijo iz Protokola št. 2, mora biti v njem navedeno, zakaj nacionalni parlament meni, da zakonodajni predlog ni skladen z načelom subsidiarnosti, Komisiji pa ga je treba poslati v osmih tednih od posredovanja zakonodajnega predloga nacionalnim parlamentom v vseh uradnih jezikih.</w:t>
      </w:r>
    </w:p>
  </w:footnote>
  <w:footnote w:id="2">
    <w:p>
      <w:pPr>
        <w:pStyle w:val="FootnoteText"/>
        <w:tabs>
          <w:tab w:val="left" w:pos="284"/>
        </w:tabs>
        <w:ind w:left="284" w:hanging="284"/>
        <w:rPr>
          <w:rFonts w:asciiTheme="majorBidi" w:hAnsiTheme="majorBidi" w:cstheme="majorBidi"/>
          <w:b/>
        </w:rPr>
      </w:pPr>
      <w:r>
        <w:rPr>
          <w:rStyle w:val="FootnoteReference"/>
        </w:rPr>
        <w:footnoteRef/>
      </w:r>
      <w:r>
        <w:rPr>
          <w:rFonts w:asciiTheme="majorBidi" w:hAnsiTheme="majorBidi" w:cstheme="majorBidi"/>
        </w:rPr>
        <w:t xml:space="preserve"> </w:t>
      </w:r>
      <w:r>
        <w:tab/>
      </w:r>
      <w:r>
        <w:rPr>
          <w:rFonts w:asciiTheme="majorBidi" w:hAnsiTheme="majorBidi" w:cstheme="majorBidi"/>
        </w:rPr>
        <w:t>Na podlagi Protokola št. 2 ima vsak nacionalni parlament dva glasova; v primeru dvodomnih parlamentarnih sistemov ima vsak dom parlamenta po en glas. Če obrazložena mnenja ustrezajo vsaj tretjini (za predloge na podlagi člena 76 Pogodbe o delovanju Evropske unije četrtini) vseh glasov, dodeljenih nacionalnim parlamentom, to pomeni, da je dosežen prag za uporabo tako imenovanega postopka rumenega kartona, zato je treba znova proučiti osnutek zakonodajnega akta. Tretjino vseh dodeljenih glasov predstavlja 19 glasov od skupno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1"/>
    <w:docVar w:name="LW_ANNEX_UNIQUE" w:val="1"/>
    <w:docVar w:name="LW_CORRIGENDUM" w:val="&lt;UNUSED&gt;"/>
    <w:docVar w:name="LW_COVERPAGE_EXISTS" w:val="True"/>
    <w:docVar w:name="LW_COVERPAGE_GUID" w:val="D66B0834-26E9-43BB-A08A-3FDE9AFE429F"/>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selj, "/>
    <w:docVar w:name="LW_EMISSION_SUFFIX" w:val=" "/>
    <w:docVar w:name="LW_ID_DOCTYPE_NONLW" w:val="CP-039"/>
    <w:docVar w:name="LW_LANGUE" w:val="SL"/>
    <w:docVar w:name="LW_LEVEL_OF_SENSITIVITY" w:val="Standard treatment"/>
    <w:docVar w:name="LW_NOM.INST" w:val="EVROPSKA KOMISIJA"/>
    <w:docVar w:name="LW_NOM.INST_JOINTDOC" w:val="&lt;EMPTY&gt;"/>
    <w:docVar w:name="LW_OBJETACTEPRINCIPAL.CP" w:val="LETNO PORO\u268?ILO 2017_x000b_O IZVAJANJU NA\u268?EL SUBSIDIARNOSTI IN SORAZMERNOSTI"/>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GA_x000b_"/>
    <w:docVar w:name="LW_TYPEACTEPRINCIPAL.CP" w:val="PORO\u268?ILU KOMISIJ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l-SI"/>
    </w:rPr>
  </w:style>
  <w:style w:type="character" w:customStyle="1" w:styleId="HeaderChar">
    <w:name w:val="Header Char"/>
    <w:basedOn w:val="DefaultParagraphFont"/>
    <w:link w:val="Header"/>
    <w:uiPriority w:val="99"/>
    <w:rPr>
      <w:sz w:val="24"/>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rPr>
      <w:lang w:eastAsia="sl-SI"/>
    </w:rPr>
  </w:style>
  <w:style w:type="character" w:styleId="FootnoteReference">
    <w:name w:val="footnote reference"/>
    <w:uiPriority w:val="99"/>
    <w:semiHidden/>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l-SI"/>
    </w:rPr>
  </w:style>
  <w:style w:type="character" w:customStyle="1" w:styleId="HeaderChar">
    <w:name w:val="Header Char"/>
    <w:basedOn w:val="DefaultParagraphFont"/>
    <w:link w:val="Header"/>
    <w:uiPriority w:val="99"/>
    <w:rPr>
      <w:sz w:val="24"/>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rPr>
      <w:lang w:eastAsia="sl-SI"/>
    </w:rPr>
  </w:style>
  <w:style w:type="character" w:styleId="FootnoteReference">
    <w:name w:val="footnote reference"/>
    <w:uiPriority w:val="99"/>
    <w:semiHidden/>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EurolookProperties>
  <Created>
    <Version>4.6</Version>
    <Date>2018-08-29T14:15:07</Date>
    <Language>EN</Language>
  </Created>
  <Edited>
    <Version>10.0.37441.0</Version>
    <Date>2018-08-29T14:18:08</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FD100039-0FCC-476C-9215-23B3C1092BF2}">
  <ds:schemaRefs/>
</ds:datastoreItem>
</file>

<file path=customXml/itemProps2.xml><?xml version="1.0" encoding="utf-8"?>
<ds:datastoreItem xmlns:ds="http://schemas.openxmlformats.org/officeDocument/2006/customXml" ds:itemID="{5B1E9563-3F6D-4E0D-B110-DBD1D793F22A}">
  <ds:schemaRefs/>
</ds:datastoreItem>
</file>

<file path=customXml/itemProps3.xml><?xml version="1.0" encoding="utf-8"?>
<ds:datastoreItem xmlns:ds="http://schemas.openxmlformats.org/officeDocument/2006/customXml" ds:itemID="{AC5F7B91-AF2B-4778-AC25-05BCD0DA553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1031</Words>
  <Characters>5890</Characters>
  <Application>Microsoft Office Word</Application>
  <DocSecurity>0</DocSecurity>
  <PresentationFormat>Microsoft Word 14.0</PresentationFormat>
  <Lines>392</Lines>
  <Paragraphs>209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12</cp:revision>
  <dcterms:created xsi:type="dcterms:W3CDTF">2018-08-29T12:16:00Z</dcterms:created>
  <dcterms:modified xsi:type="dcterms:W3CDTF">2018-10-23T07:02:00Z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1</vt:lpwstr>
  </property>
  <property fmtid="{D5CDD505-2E9C-101B-9397-08002B2CF9AE}" pid="16" name="Unique annex">
    <vt:lpwstr>1</vt:lpwstr>
  </property>
  <property fmtid="{D5CDD505-2E9C-101B-9397-08002B2CF9AE}" pid="17" name="Part">
    <vt:lpwstr>1</vt:lpwstr>
  </property>
  <property fmtid="{D5CDD505-2E9C-101B-9397-08002B2CF9AE}" pid="18" name="Total parts">
    <vt:lpwstr>1</vt:lpwstr>
  </property>
  <property fmtid="{D5CDD505-2E9C-101B-9397-08002B2CF9AE}" pid="19" name="DocStatus">
    <vt:lpwstr>Green</vt:lpwstr>
  </property>
</Properties>
</file>