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6AEB8161-EEAE-4EAD-ABC4-A6049B592C37" style="width:450.75pt;height:379.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pPr>
        <w:autoSpaceDE w:val="0"/>
        <w:autoSpaceDN w:val="0"/>
        <w:adjustRightInd w:val="0"/>
        <w:jc w:val="center"/>
        <w:rPr>
          <w:b/>
          <w:noProof/>
          <w:szCs w:val="24"/>
        </w:rPr>
      </w:pPr>
      <w:bookmarkStart w:id="1" w:name="_GoBack"/>
      <w:bookmarkEnd w:id="1"/>
      <w:r>
        <w:rPr>
          <w:b/>
          <w:noProof/>
          <w:szCs w:val="24"/>
        </w:rPr>
        <w:lastRenderedPageBreak/>
        <w:t xml:space="preserve">Komisijas dokumenti, </w:t>
      </w:r>
      <w:r>
        <w:rPr>
          <w:b/>
          <w:noProof/>
          <w:szCs w:val="24"/>
        </w:rPr>
        <w:br/>
        <w:t>par kuriem Komisija 2017. gadā saņēma no valstu parlamentiem pamatotus atzinumus</w:t>
      </w:r>
      <w:r>
        <w:rPr>
          <w:b/>
          <w:noProof/>
          <w:szCs w:val="24"/>
          <w:vertAlign w:val="superscript"/>
        </w:rPr>
        <w:footnoteReference w:id="1"/>
      </w:r>
      <w:r>
        <w:rPr>
          <w:b/>
          <w:noProof/>
          <w:szCs w:val="24"/>
        </w:rPr>
        <w:t xml:space="preserve"> par atbilstību subsidiaritātes principam</w:t>
      </w:r>
    </w:p>
    <w:tbl>
      <w:tblPr>
        <w:tblW w:w="105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4"/>
        <w:gridCol w:w="1977"/>
        <w:gridCol w:w="2662"/>
        <w:gridCol w:w="1356"/>
        <w:gridCol w:w="1337"/>
        <w:gridCol w:w="2842"/>
      </w:tblGrid>
      <w:tr>
        <w:trPr>
          <w:cantSplit/>
          <w:tblHeader/>
        </w:trPr>
        <w:tc>
          <w:tcPr>
            <w:tcW w:w="414" w:type="dxa"/>
            <w:tcBorders>
              <w:top w:val="nil"/>
              <w:left w:val="nil"/>
            </w:tcBorders>
            <w:shd w:val="clear" w:color="auto" w:fill="auto"/>
            <w:vAlign w:val="center"/>
          </w:tcPr>
          <w:p>
            <w:pPr>
              <w:spacing w:after="0"/>
              <w:jc w:val="center"/>
              <w:rPr>
                <w:noProof/>
                <w:sz w:val="20"/>
              </w:rPr>
            </w:pPr>
          </w:p>
        </w:tc>
        <w:tc>
          <w:tcPr>
            <w:tcW w:w="1977" w:type="dxa"/>
            <w:shd w:val="clear" w:color="auto" w:fill="auto"/>
            <w:vAlign w:val="center"/>
          </w:tcPr>
          <w:p>
            <w:pPr>
              <w:spacing w:after="0"/>
              <w:jc w:val="center"/>
              <w:rPr>
                <w:b/>
                <w:noProof/>
                <w:sz w:val="20"/>
              </w:rPr>
            </w:pPr>
            <w:r>
              <w:rPr>
                <w:b/>
                <w:noProof/>
                <w:sz w:val="20"/>
              </w:rPr>
              <w:t>Komisijas</w:t>
            </w:r>
            <w:r>
              <w:rPr>
                <w:b/>
                <w:noProof/>
                <w:sz w:val="20"/>
              </w:rPr>
              <w:br/>
              <w:t>dokuments</w:t>
            </w:r>
          </w:p>
        </w:tc>
        <w:tc>
          <w:tcPr>
            <w:tcW w:w="2662" w:type="dxa"/>
            <w:shd w:val="clear" w:color="auto" w:fill="auto"/>
            <w:vAlign w:val="center"/>
          </w:tcPr>
          <w:p>
            <w:pPr>
              <w:spacing w:after="0"/>
              <w:jc w:val="center"/>
              <w:rPr>
                <w:noProof/>
                <w:sz w:val="20"/>
              </w:rPr>
            </w:pPr>
            <w:r>
              <w:rPr>
                <w:b/>
                <w:noProof/>
                <w:sz w:val="20"/>
              </w:rPr>
              <w:t>Nosaukums</w:t>
            </w:r>
          </w:p>
        </w:tc>
        <w:tc>
          <w:tcPr>
            <w:tcW w:w="1356" w:type="dxa"/>
            <w:shd w:val="clear" w:color="auto" w:fill="auto"/>
            <w:vAlign w:val="center"/>
          </w:tcPr>
          <w:p>
            <w:pPr>
              <w:spacing w:after="0"/>
              <w:jc w:val="center"/>
              <w:rPr>
                <w:b/>
                <w:noProof/>
                <w:sz w:val="20"/>
              </w:rPr>
            </w:pPr>
            <w:r>
              <w:rPr>
                <w:b/>
                <w:noProof/>
                <w:sz w:val="20"/>
              </w:rPr>
              <w:t>Pamatoto</w:t>
            </w:r>
            <w:r>
              <w:rPr>
                <w:b/>
                <w:noProof/>
                <w:sz w:val="20"/>
              </w:rPr>
              <w:br/>
              <w:t>atzinumu</w:t>
            </w:r>
            <w:r>
              <w:rPr>
                <w:b/>
                <w:noProof/>
                <w:sz w:val="20"/>
              </w:rPr>
              <w:br/>
              <w:t>skaits</w:t>
            </w:r>
            <w:r>
              <w:rPr>
                <w:b/>
                <w:noProof/>
                <w:sz w:val="20"/>
              </w:rPr>
              <w:br/>
              <w:t xml:space="preserve">(2. protokols) </w:t>
            </w:r>
          </w:p>
        </w:tc>
        <w:tc>
          <w:tcPr>
            <w:tcW w:w="1337" w:type="dxa"/>
            <w:shd w:val="clear" w:color="auto" w:fill="auto"/>
            <w:vAlign w:val="center"/>
          </w:tcPr>
          <w:p>
            <w:pPr>
              <w:spacing w:after="0"/>
              <w:jc w:val="center"/>
              <w:rPr>
                <w:noProof/>
                <w:sz w:val="20"/>
              </w:rPr>
            </w:pPr>
            <w:r>
              <w:rPr>
                <w:b/>
                <w:noProof/>
                <w:sz w:val="20"/>
              </w:rPr>
              <w:t>Balsu</w:t>
            </w:r>
            <w:r>
              <w:rPr>
                <w:b/>
                <w:noProof/>
                <w:sz w:val="20"/>
              </w:rPr>
              <w:br/>
              <w:t>skaits</w:t>
            </w:r>
            <w:r>
              <w:rPr>
                <w:b/>
                <w:noProof/>
                <w:sz w:val="20"/>
              </w:rPr>
              <w:br/>
              <w:t>(2. protokols)</w:t>
            </w:r>
            <w:r>
              <w:rPr>
                <w:noProof/>
                <w:sz w:val="20"/>
                <w:vertAlign w:val="superscript"/>
              </w:rPr>
              <w:footnoteReference w:id="2"/>
            </w:r>
          </w:p>
        </w:tc>
        <w:tc>
          <w:tcPr>
            <w:tcW w:w="2842" w:type="dxa"/>
            <w:shd w:val="clear" w:color="auto" w:fill="auto"/>
            <w:vAlign w:val="center"/>
          </w:tcPr>
          <w:p>
            <w:pPr>
              <w:spacing w:after="0"/>
              <w:jc w:val="center"/>
              <w:rPr>
                <w:noProof/>
                <w:sz w:val="20"/>
              </w:rPr>
            </w:pPr>
            <w:r>
              <w:rPr>
                <w:b/>
                <w:noProof/>
                <w:sz w:val="20"/>
              </w:rPr>
              <w:t>Valsts palāta,</w:t>
            </w:r>
            <w:r>
              <w:rPr>
                <w:b/>
                <w:noProof/>
                <w:sz w:val="20"/>
              </w:rPr>
              <w:br/>
              <w:t>kas iesniedza</w:t>
            </w:r>
            <w:r>
              <w:rPr>
                <w:b/>
                <w:noProof/>
                <w:sz w:val="20"/>
              </w:rPr>
              <w:br/>
              <w:t xml:space="preserve">pamatotos atzinumus </w:t>
            </w:r>
          </w:p>
        </w:tc>
      </w:tr>
      <w:tr>
        <w:trPr>
          <w:cantSplit/>
        </w:trPr>
        <w:tc>
          <w:tcPr>
            <w:tcW w:w="414" w:type="dxa"/>
            <w:shd w:val="clear" w:color="auto" w:fill="auto"/>
          </w:tcPr>
          <w:p>
            <w:pPr>
              <w:spacing w:after="0"/>
              <w:jc w:val="left"/>
              <w:rPr>
                <w:noProof/>
                <w:sz w:val="20"/>
              </w:rPr>
            </w:pPr>
            <w:r>
              <w:rPr>
                <w:noProof/>
                <w:sz w:val="20"/>
              </w:rPr>
              <w:t>1</w:t>
            </w:r>
          </w:p>
        </w:tc>
        <w:tc>
          <w:tcPr>
            <w:tcW w:w="1977" w:type="dxa"/>
            <w:shd w:val="clear" w:color="auto" w:fill="auto"/>
          </w:tcPr>
          <w:p>
            <w:pPr>
              <w:spacing w:after="0"/>
              <w:jc w:val="left"/>
              <w:rPr>
                <w:noProof/>
                <w:color w:val="000000"/>
                <w:sz w:val="20"/>
              </w:rPr>
            </w:pPr>
            <w:r>
              <w:rPr>
                <w:noProof/>
                <w:color w:val="000000"/>
                <w:sz w:val="20"/>
              </w:rPr>
              <w:t>COM(2016) 861</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regulai </w:t>
            </w:r>
            <w:r>
              <w:rPr>
                <w:b/>
                <w:noProof/>
                <w:color w:val="000000"/>
                <w:sz w:val="20"/>
              </w:rPr>
              <w:t>par elektroenerģijas iekšējo tirgu</w:t>
            </w:r>
            <w:r>
              <w:rPr>
                <w:noProof/>
                <w:color w:val="000000"/>
                <w:sz w:val="20"/>
              </w:rPr>
              <w:t xml:space="preserve"> (pārstrādāta redakcija) </w:t>
            </w:r>
          </w:p>
        </w:tc>
        <w:tc>
          <w:tcPr>
            <w:tcW w:w="1356" w:type="dxa"/>
            <w:shd w:val="clear" w:color="auto" w:fill="auto"/>
          </w:tcPr>
          <w:p>
            <w:pPr>
              <w:spacing w:after="0"/>
              <w:jc w:val="center"/>
              <w:rPr>
                <w:noProof/>
                <w:color w:val="000000"/>
                <w:sz w:val="20"/>
              </w:rPr>
            </w:pPr>
            <w:r>
              <w:rPr>
                <w:noProof/>
                <w:color w:val="000000"/>
                <w:sz w:val="20"/>
              </w:rPr>
              <w:t>11</w:t>
            </w:r>
          </w:p>
        </w:tc>
        <w:tc>
          <w:tcPr>
            <w:tcW w:w="1337" w:type="dxa"/>
            <w:shd w:val="clear" w:color="auto" w:fill="auto"/>
          </w:tcPr>
          <w:p>
            <w:pPr>
              <w:spacing w:after="0"/>
              <w:jc w:val="center"/>
              <w:rPr>
                <w:noProof/>
                <w:color w:val="000000"/>
                <w:sz w:val="20"/>
              </w:rPr>
            </w:pPr>
            <w:r>
              <w:rPr>
                <w:noProof/>
                <w:color w:val="000000"/>
                <w:sz w:val="20"/>
              </w:rPr>
              <w:t>13</w:t>
            </w:r>
          </w:p>
        </w:tc>
        <w:tc>
          <w:tcPr>
            <w:tcW w:w="284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Bundesrat</w:t>
            </w:r>
            <w:r>
              <w:rPr>
                <w:noProof/>
                <w:sz w:val="20"/>
              </w:rPr>
              <w:t xml:space="preserve"> (1 balss) </w:t>
            </w:r>
          </w:p>
          <w:p>
            <w:pPr>
              <w:spacing w:after="0"/>
              <w:jc w:val="left"/>
              <w:rPr>
                <w:noProof/>
                <w:sz w:val="20"/>
              </w:rPr>
            </w:pPr>
          </w:p>
          <w:p>
            <w:pPr>
              <w:spacing w:after="0"/>
              <w:jc w:val="left"/>
              <w:rPr>
                <w:noProof/>
                <w:sz w:val="20"/>
              </w:rPr>
            </w:pPr>
            <w:r>
              <w:rPr>
                <w:noProof/>
                <w:sz w:val="20"/>
              </w:rPr>
              <w:t xml:space="preserve">DE </w:t>
            </w:r>
            <w:r>
              <w:rPr>
                <w:i/>
                <w:noProof/>
                <w:sz w:val="20"/>
              </w:rPr>
              <w:t>Bundestag</w:t>
            </w:r>
            <w:r>
              <w:rPr>
                <w:noProof/>
                <w:sz w:val="20"/>
              </w:rPr>
              <w:t xml:space="preserve"> (1 balss) </w:t>
            </w:r>
          </w:p>
          <w:p>
            <w:pPr>
              <w:spacing w:after="0"/>
              <w:jc w:val="left"/>
              <w:rPr>
                <w:noProof/>
                <w:sz w:val="20"/>
              </w:rPr>
            </w:pPr>
          </w:p>
          <w:p>
            <w:pPr>
              <w:spacing w:after="0"/>
              <w:jc w:val="left"/>
              <w:rPr>
                <w:noProof/>
                <w:sz w:val="20"/>
              </w:rPr>
            </w:pPr>
            <w:r>
              <w:rPr>
                <w:noProof/>
                <w:sz w:val="20"/>
              </w:rPr>
              <w:t xml:space="preserve">AT </w:t>
            </w:r>
            <w:r>
              <w:rPr>
                <w:i/>
                <w:noProof/>
                <w:sz w:val="20"/>
              </w:rPr>
              <w:t>Bundesrat</w:t>
            </w:r>
            <w:r>
              <w:rPr>
                <w:noProof/>
                <w:sz w:val="20"/>
              </w:rPr>
              <w:t xml:space="preserve"> (1 balss) </w:t>
            </w:r>
          </w:p>
          <w:p>
            <w:pPr>
              <w:spacing w:after="0"/>
              <w:jc w:val="left"/>
              <w:rPr>
                <w:noProof/>
                <w:sz w:val="20"/>
              </w:rPr>
            </w:pPr>
          </w:p>
          <w:p>
            <w:pPr>
              <w:spacing w:after="0"/>
              <w:jc w:val="left"/>
              <w:rPr>
                <w:noProof/>
                <w:sz w:val="20"/>
              </w:rPr>
            </w:pPr>
            <w:r>
              <w:rPr>
                <w:noProof/>
                <w:sz w:val="20"/>
              </w:rPr>
              <w:t xml:space="preserve">ES </w:t>
            </w:r>
            <w:r>
              <w:rPr>
                <w:i/>
                <w:noProof/>
                <w:sz w:val="20"/>
              </w:rPr>
              <w:t>Cortes Generales</w:t>
            </w:r>
            <w:r>
              <w:rPr>
                <w:noProof/>
                <w:sz w:val="20"/>
              </w:rPr>
              <w:t xml:space="preserve"> (2 balsis) </w:t>
            </w:r>
          </w:p>
          <w:p>
            <w:pPr>
              <w:spacing w:after="0"/>
              <w:jc w:val="left"/>
              <w:rPr>
                <w:noProof/>
                <w:sz w:val="20"/>
              </w:rPr>
            </w:pPr>
          </w:p>
          <w:p>
            <w:pPr>
              <w:spacing w:after="0"/>
              <w:jc w:val="left"/>
              <w:rPr>
                <w:noProof/>
                <w:sz w:val="20"/>
              </w:rPr>
            </w:pPr>
            <w:r>
              <w:rPr>
                <w:noProof/>
                <w:sz w:val="20"/>
              </w:rPr>
              <w:t xml:space="preserve">FR </w:t>
            </w:r>
            <w:r>
              <w:rPr>
                <w:i/>
                <w:noProof/>
                <w:sz w:val="20"/>
              </w:rPr>
              <w:t>Sénat</w:t>
            </w:r>
            <w:r>
              <w:rPr>
                <w:noProof/>
                <w:sz w:val="20"/>
              </w:rPr>
              <w:t xml:space="preserve"> (1 balss) </w:t>
            </w:r>
          </w:p>
          <w:p>
            <w:pPr>
              <w:spacing w:after="0"/>
              <w:jc w:val="left"/>
              <w:rPr>
                <w:noProof/>
                <w:sz w:val="20"/>
              </w:rPr>
            </w:pPr>
          </w:p>
          <w:p>
            <w:pPr>
              <w:spacing w:after="0"/>
              <w:jc w:val="left"/>
              <w:rPr>
                <w:noProof/>
                <w:sz w:val="20"/>
              </w:rPr>
            </w:pPr>
            <w:r>
              <w:rPr>
                <w:noProof/>
                <w:sz w:val="20"/>
              </w:rPr>
              <w:t xml:space="preserve">HU </w:t>
            </w:r>
            <w:r>
              <w:rPr>
                <w:i/>
                <w:iCs/>
                <w:noProof/>
                <w:color w:val="000000"/>
                <w:sz w:val="20"/>
              </w:rPr>
              <w:t xml:space="preserve">Országgyűlés </w:t>
            </w:r>
            <w:r>
              <w:rPr>
                <w:noProof/>
                <w:sz w:val="20"/>
              </w:rPr>
              <w:t>(2 balsis)</w:t>
            </w:r>
          </w:p>
          <w:p>
            <w:pPr>
              <w:spacing w:after="0"/>
              <w:jc w:val="left"/>
              <w:rPr>
                <w:i/>
                <w:iCs/>
                <w:noProof/>
                <w:color w:val="000000"/>
                <w:sz w:val="20"/>
              </w:rPr>
            </w:pPr>
          </w:p>
          <w:p>
            <w:pPr>
              <w:spacing w:after="0"/>
              <w:jc w:val="left"/>
              <w:rPr>
                <w:noProof/>
                <w:sz w:val="20"/>
              </w:rPr>
            </w:pPr>
            <w:r>
              <w:rPr>
                <w:iCs/>
                <w:noProof/>
                <w:color w:val="000000"/>
                <w:sz w:val="20"/>
              </w:rPr>
              <w:t xml:space="preserve">PL </w:t>
            </w:r>
            <w:r>
              <w:rPr>
                <w:i/>
                <w:iCs/>
                <w:noProof/>
                <w:color w:val="000000"/>
                <w:sz w:val="20"/>
              </w:rPr>
              <w:t>Sejm</w:t>
            </w:r>
            <w:r>
              <w:rPr>
                <w:iCs/>
                <w:noProof/>
                <w:color w:val="000000"/>
                <w:sz w:val="20"/>
              </w:rPr>
              <w:t xml:space="preserve"> </w:t>
            </w:r>
            <w:r>
              <w:rPr>
                <w:noProof/>
                <w:sz w:val="20"/>
              </w:rPr>
              <w:t xml:space="preserve">(1 balss) </w:t>
            </w:r>
          </w:p>
          <w:p>
            <w:pPr>
              <w:spacing w:after="0"/>
              <w:jc w:val="left"/>
              <w:rPr>
                <w:iCs/>
                <w:noProof/>
                <w:color w:val="000000"/>
                <w:sz w:val="20"/>
              </w:rPr>
            </w:pPr>
          </w:p>
          <w:p>
            <w:pPr>
              <w:spacing w:after="0"/>
              <w:jc w:val="left"/>
              <w:rPr>
                <w:noProof/>
                <w:sz w:val="20"/>
              </w:rPr>
            </w:pPr>
            <w:r>
              <w:rPr>
                <w:iCs/>
                <w:noProof/>
                <w:color w:val="000000"/>
                <w:sz w:val="20"/>
              </w:rPr>
              <w:t xml:space="preserve">PL </w:t>
            </w:r>
            <w:r>
              <w:rPr>
                <w:i/>
                <w:iCs/>
                <w:noProof/>
                <w:color w:val="000000"/>
                <w:sz w:val="20"/>
              </w:rPr>
              <w:t>Senat</w:t>
            </w:r>
            <w:r>
              <w:rPr>
                <w:iCs/>
                <w:noProof/>
                <w:color w:val="000000"/>
                <w:sz w:val="20"/>
              </w:rPr>
              <w:t xml:space="preserve"> </w:t>
            </w:r>
            <w:r>
              <w:rPr>
                <w:noProof/>
                <w:sz w:val="20"/>
              </w:rPr>
              <w:t xml:space="preserve">(1 balss) </w:t>
            </w:r>
          </w:p>
          <w:p>
            <w:pPr>
              <w:spacing w:after="0"/>
              <w:jc w:val="left"/>
              <w:rPr>
                <w:iCs/>
                <w:noProof/>
                <w:color w:val="000000"/>
                <w:sz w:val="20"/>
              </w:rPr>
            </w:pPr>
          </w:p>
          <w:p>
            <w:pPr>
              <w:spacing w:after="0"/>
              <w:jc w:val="left"/>
              <w:rPr>
                <w:noProof/>
                <w:sz w:val="20"/>
              </w:rPr>
            </w:pPr>
            <w:r>
              <w:rPr>
                <w:iCs/>
                <w:noProof/>
                <w:color w:val="000000"/>
                <w:sz w:val="20"/>
              </w:rPr>
              <w:t xml:space="preserve">CZ </w:t>
            </w:r>
            <w:r>
              <w:rPr>
                <w:i/>
                <w:iCs/>
                <w:noProof/>
                <w:color w:val="000000"/>
                <w:sz w:val="20"/>
              </w:rPr>
              <w:t xml:space="preserve">Poslanecká sněmovna </w:t>
            </w:r>
            <w:r>
              <w:rPr>
                <w:noProof/>
                <w:sz w:val="20"/>
              </w:rPr>
              <w:t xml:space="preserve">(1 balss) </w:t>
            </w:r>
          </w:p>
          <w:p>
            <w:pPr>
              <w:spacing w:after="0"/>
              <w:jc w:val="left"/>
              <w:rPr>
                <w:i/>
                <w:iCs/>
                <w:noProof/>
                <w:color w:val="000000"/>
                <w:sz w:val="20"/>
              </w:rPr>
            </w:pPr>
          </w:p>
          <w:p>
            <w:pPr>
              <w:spacing w:after="0"/>
              <w:jc w:val="left"/>
              <w:rPr>
                <w:noProof/>
                <w:sz w:val="20"/>
              </w:rPr>
            </w:pPr>
            <w:r>
              <w:rPr>
                <w:noProof/>
                <w:sz w:val="20"/>
              </w:rPr>
              <w:t xml:space="preserve">RO </w:t>
            </w:r>
            <w:r>
              <w:rPr>
                <w:i/>
                <w:iCs/>
                <w:noProof/>
                <w:color w:val="000000"/>
                <w:sz w:val="20"/>
              </w:rPr>
              <w:t xml:space="preserve">Camera Deputaților </w:t>
            </w:r>
            <w:r>
              <w:rPr>
                <w:noProof/>
                <w:sz w:val="20"/>
              </w:rPr>
              <w:t xml:space="preserve">(1 balss) </w:t>
            </w:r>
          </w:p>
          <w:p>
            <w:pPr>
              <w:spacing w:after="0"/>
              <w:jc w:val="left"/>
              <w:rPr>
                <w:i/>
                <w:iCs/>
                <w:noProof/>
                <w:color w:val="000000"/>
                <w:sz w:val="20"/>
              </w:rPr>
            </w:pPr>
          </w:p>
          <w:p>
            <w:pPr>
              <w:spacing w:after="0"/>
              <w:jc w:val="left"/>
              <w:rPr>
                <w:iCs/>
                <w:noProof/>
                <w:color w:val="000000"/>
                <w:sz w:val="20"/>
              </w:rPr>
            </w:pPr>
            <w:r>
              <w:rPr>
                <w:iCs/>
                <w:noProof/>
                <w:color w:val="000000"/>
                <w:sz w:val="20"/>
              </w:rPr>
              <w:t xml:space="preserve">RO </w:t>
            </w:r>
            <w:r>
              <w:rPr>
                <w:i/>
                <w:iCs/>
                <w:noProof/>
                <w:color w:val="000000"/>
                <w:sz w:val="20"/>
              </w:rPr>
              <w:t>Senatul</w:t>
            </w:r>
            <w:r>
              <w:rPr>
                <w:iCs/>
                <w:noProof/>
                <w:color w:val="000000"/>
                <w:sz w:val="20"/>
              </w:rPr>
              <w:t xml:space="preserve"> </w:t>
            </w:r>
            <w:r>
              <w:rPr>
                <w:noProof/>
                <w:sz w:val="20"/>
              </w:rPr>
              <w:t xml:space="preserve">(1 balss) </w:t>
            </w:r>
          </w:p>
        </w:tc>
      </w:tr>
      <w:tr>
        <w:trPr>
          <w:cantSplit/>
        </w:trPr>
        <w:tc>
          <w:tcPr>
            <w:tcW w:w="414" w:type="dxa"/>
            <w:shd w:val="clear" w:color="auto" w:fill="auto"/>
          </w:tcPr>
          <w:p>
            <w:pPr>
              <w:spacing w:after="0"/>
              <w:jc w:val="left"/>
              <w:rPr>
                <w:noProof/>
                <w:sz w:val="20"/>
              </w:rPr>
            </w:pPr>
            <w:r>
              <w:rPr>
                <w:noProof/>
                <w:sz w:val="20"/>
              </w:rPr>
              <w:t>2</w:t>
            </w:r>
          </w:p>
        </w:tc>
        <w:tc>
          <w:tcPr>
            <w:tcW w:w="1977" w:type="dxa"/>
            <w:shd w:val="clear" w:color="auto" w:fill="auto"/>
          </w:tcPr>
          <w:p>
            <w:pPr>
              <w:spacing w:after="0"/>
              <w:jc w:val="left"/>
              <w:rPr>
                <w:noProof/>
                <w:color w:val="000000"/>
                <w:sz w:val="20"/>
              </w:rPr>
            </w:pPr>
            <w:r>
              <w:rPr>
                <w:noProof/>
                <w:color w:val="000000"/>
                <w:sz w:val="20"/>
              </w:rPr>
              <w:t>COM(2016) 822</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direktīvai par </w:t>
            </w:r>
            <w:r>
              <w:rPr>
                <w:b/>
                <w:noProof/>
                <w:color w:val="000000"/>
                <w:sz w:val="20"/>
              </w:rPr>
              <w:t>samērības novērtējumu pirms jauna profesiju regulējuma pieņemšanas</w:t>
            </w:r>
          </w:p>
        </w:tc>
        <w:tc>
          <w:tcPr>
            <w:tcW w:w="1356" w:type="dxa"/>
            <w:shd w:val="clear" w:color="auto" w:fill="auto"/>
          </w:tcPr>
          <w:p>
            <w:pPr>
              <w:spacing w:after="0"/>
              <w:jc w:val="center"/>
              <w:rPr>
                <w:noProof/>
                <w:color w:val="000000"/>
                <w:sz w:val="20"/>
              </w:rPr>
            </w:pPr>
            <w:r>
              <w:rPr>
                <w:noProof/>
                <w:color w:val="000000"/>
                <w:sz w:val="20"/>
              </w:rPr>
              <w:t>5</w:t>
            </w:r>
          </w:p>
        </w:tc>
        <w:tc>
          <w:tcPr>
            <w:tcW w:w="1337" w:type="dxa"/>
            <w:shd w:val="clear" w:color="auto" w:fill="auto"/>
          </w:tcPr>
          <w:p>
            <w:pPr>
              <w:spacing w:after="0"/>
              <w:jc w:val="center"/>
              <w:rPr>
                <w:noProof/>
                <w:color w:val="000000"/>
                <w:sz w:val="20"/>
              </w:rPr>
            </w:pPr>
            <w:r>
              <w:rPr>
                <w:noProof/>
                <w:color w:val="000000"/>
                <w:sz w:val="20"/>
              </w:rPr>
              <w:t>5</w:t>
            </w:r>
          </w:p>
        </w:tc>
        <w:tc>
          <w:tcPr>
            <w:tcW w:w="284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balss) </w:t>
            </w:r>
          </w:p>
          <w:p>
            <w:pPr>
              <w:spacing w:after="0"/>
              <w:jc w:val="left"/>
              <w:rPr>
                <w:noProof/>
                <w:sz w:val="20"/>
              </w:rPr>
            </w:pPr>
          </w:p>
          <w:p>
            <w:pPr>
              <w:spacing w:after="0"/>
              <w:jc w:val="left"/>
              <w:rPr>
                <w:noProof/>
                <w:sz w:val="20"/>
              </w:rPr>
            </w:pPr>
            <w:r>
              <w:rPr>
                <w:noProof/>
                <w:sz w:val="20"/>
              </w:rPr>
              <w:t xml:space="preserve">DE </w:t>
            </w:r>
            <w:r>
              <w:rPr>
                <w:i/>
                <w:noProof/>
                <w:sz w:val="20"/>
              </w:rPr>
              <w:t>Bundesrat</w:t>
            </w:r>
            <w:r>
              <w:rPr>
                <w:noProof/>
                <w:sz w:val="20"/>
              </w:rPr>
              <w:t xml:space="preserve"> (1 balss) </w:t>
            </w:r>
          </w:p>
          <w:p>
            <w:pPr>
              <w:spacing w:after="0"/>
              <w:jc w:val="left"/>
              <w:rPr>
                <w:noProof/>
                <w:sz w:val="20"/>
              </w:rPr>
            </w:pPr>
          </w:p>
          <w:p>
            <w:pPr>
              <w:spacing w:after="0"/>
              <w:jc w:val="left"/>
              <w:rPr>
                <w:noProof/>
                <w:sz w:val="20"/>
              </w:rPr>
            </w:pPr>
            <w:r>
              <w:rPr>
                <w:noProof/>
                <w:sz w:val="20"/>
              </w:rPr>
              <w:t xml:space="preserve">AT </w:t>
            </w:r>
            <w:r>
              <w:rPr>
                <w:i/>
                <w:noProof/>
                <w:sz w:val="20"/>
              </w:rPr>
              <w:t>Bundesrat</w:t>
            </w:r>
            <w:r>
              <w:rPr>
                <w:noProof/>
                <w:sz w:val="20"/>
              </w:rPr>
              <w:t xml:space="preserve"> (1 balss) </w:t>
            </w:r>
          </w:p>
          <w:p>
            <w:pPr>
              <w:spacing w:after="0"/>
              <w:jc w:val="left"/>
              <w:rPr>
                <w:noProof/>
                <w:sz w:val="20"/>
              </w:rPr>
            </w:pPr>
          </w:p>
          <w:p>
            <w:pPr>
              <w:spacing w:after="0"/>
              <w:jc w:val="left"/>
              <w:rPr>
                <w:noProof/>
                <w:sz w:val="20"/>
              </w:rPr>
            </w:pPr>
            <w:r>
              <w:rPr>
                <w:noProof/>
                <w:sz w:val="20"/>
              </w:rPr>
              <w:t xml:space="preserve">FR </w:t>
            </w:r>
            <w:r>
              <w:rPr>
                <w:i/>
                <w:iCs/>
                <w:noProof/>
                <w:color w:val="000000"/>
                <w:sz w:val="20"/>
              </w:rPr>
              <w:t xml:space="preserve">Assemblée nationale </w:t>
            </w:r>
            <w:r>
              <w:rPr>
                <w:noProof/>
                <w:sz w:val="20"/>
              </w:rPr>
              <w:t>(1 balss)</w:t>
            </w:r>
          </w:p>
          <w:p>
            <w:pPr>
              <w:spacing w:after="0"/>
              <w:jc w:val="left"/>
              <w:rPr>
                <w:i/>
                <w:iCs/>
                <w:noProof/>
                <w:color w:val="000000"/>
                <w:sz w:val="20"/>
              </w:rPr>
            </w:pPr>
          </w:p>
          <w:p>
            <w:pPr>
              <w:spacing w:after="0"/>
              <w:jc w:val="left"/>
              <w:rPr>
                <w:noProof/>
                <w:sz w:val="20"/>
              </w:rPr>
            </w:pPr>
            <w:r>
              <w:rPr>
                <w:noProof/>
                <w:sz w:val="20"/>
              </w:rPr>
              <w:t xml:space="preserve">FR </w:t>
            </w:r>
            <w:r>
              <w:rPr>
                <w:i/>
                <w:noProof/>
                <w:sz w:val="20"/>
              </w:rPr>
              <w:t>Sénat</w:t>
            </w:r>
            <w:r>
              <w:rPr>
                <w:noProof/>
                <w:sz w:val="20"/>
              </w:rPr>
              <w:t xml:space="preserve"> (1 balss)</w:t>
            </w:r>
          </w:p>
        </w:tc>
      </w:tr>
      <w:tr>
        <w:trPr>
          <w:cantSplit/>
        </w:trPr>
        <w:tc>
          <w:tcPr>
            <w:tcW w:w="414" w:type="dxa"/>
            <w:shd w:val="clear" w:color="auto" w:fill="auto"/>
          </w:tcPr>
          <w:p>
            <w:pPr>
              <w:spacing w:after="0"/>
              <w:jc w:val="left"/>
              <w:rPr>
                <w:noProof/>
                <w:sz w:val="20"/>
              </w:rPr>
            </w:pPr>
            <w:r>
              <w:rPr>
                <w:noProof/>
                <w:sz w:val="20"/>
              </w:rPr>
              <w:t>3</w:t>
            </w:r>
          </w:p>
        </w:tc>
        <w:tc>
          <w:tcPr>
            <w:tcW w:w="1977" w:type="dxa"/>
            <w:shd w:val="clear" w:color="auto" w:fill="auto"/>
          </w:tcPr>
          <w:p>
            <w:pPr>
              <w:spacing w:after="0"/>
              <w:jc w:val="left"/>
              <w:rPr>
                <w:noProof/>
                <w:color w:val="000000"/>
                <w:sz w:val="20"/>
              </w:rPr>
            </w:pPr>
            <w:r>
              <w:rPr>
                <w:noProof/>
                <w:color w:val="000000"/>
                <w:sz w:val="20"/>
              </w:rPr>
              <w:t>COM(2017) 253</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direktīvai par </w:t>
            </w:r>
            <w:r>
              <w:rPr>
                <w:b/>
                <w:noProof/>
                <w:color w:val="000000"/>
                <w:sz w:val="20"/>
              </w:rPr>
              <w:t>darba un privātās dzīves līdzsvaru vecākiem un aprūpētājiem</w:t>
            </w:r>
            <w:r>
              <w:rPr>
                <w:noProof/>
                <w:color w:val="000000"/>
                <w:sz w:val="20"/>
              </w:rPr>
              <w:t>, un ar ko atceļ Padomes Direktīvu 2010/18/ES</w:t>
            </w:r>
          </w:p>
        </w:tc>
        <w:tc>
          <w:tcPr>
            <w:tcW w:w="1356" w:type="dxa"/>
            <w:shd w:val="clear" w:color="auto" w:fill="auto"/>
          </w:tcPr>
          <w:p>
            <w:pPr>
              <w:spacing w:after="0"/>
              <w:jc w:val="center"/>
              <w:rPr>
                <w:noProof/>
                <w:color w:val="000000"/>
                <w:sz w:val="20"/>
              </w:rPr>
            </w:pPr>
            <w:r>
              <w:rPr>
                <w:noProof/>
                <w:color w:val="000000"/>
                <w:sz w:val="20"/>
              </w:rPr>
              <w:t>4</w:t>
            </w:r>
          </w:p>
        </w:tc>
        <w:tc>
          <w:tcPr>
            <w:tcW w:w="1337" w:type="dxa"/>
            <w:shd w:val="clear" w:color="auto" w:fill="auto"/>
          </w:tcPr>
          <w:p>
            <w:pPr>
              <w:spacing w:after="0"/>
              <w:jc w:val="center"/>
              <w:rPr>
                <w:noProof/>
                <w:color w:val="000000"/>
                <w:sz w:val="20"/>
              </w:rPr>
            </w:pPr>
            <w:r>
              <w:rPr>
                <w:noProof/>
                <w:color w:val="000000"/>
                <w:sz w:val="20"/>
              </w:rPr>
              <w:t>4</w:t>
            </w:r>
          </w:p>
        </w:tc>
        <w:tc>
          <w:tcPr>
            <w:tcW w:w="2842" w:type="dxa"/>
            <w:tcBorders>
              <w:bottom w:val="single" w:sz="4" w:space="0" w:color="auto"/>
            </w:tcBorders>
            <w:shd w:val="clear" w:color="auto" w:fill="auto"/>
          </w:tcPr>
          <w:p>
            <w:pPr>
              <w:spacing w:after="0"/>
              <w:jc w:val="left"/>
              <w:rPr>
                <w:noProof/>
                <w:sz w:val="20"/>
                <w:lang w:val="nl-NL"/>
              </w:rPr>
            </w:pPr>
            <w:r>
              <w:rPr>
                <w:noProof/>
                <w:sz w:val="20"/>
                <w:lang w:val="nl-NL"/>
              </w:rPr>
              <w:t xml:space="preserve">NL </w:t>
            </w:r>
            <w:r>
              <w:rPr>
                <w:i/>
                <w:iCs/>
                <w:noProof/>
                <w:color w:val="000000"/>
                <w:sz w:val="20"/>
                <w:lang w:val="nl-NL"/>
              </w:rPr>
              <w:t xml:space="preserve">Eerste Kamer </w:t>
            </w:r>
            <w:r>
              <w:rPr>
                <w:noProof/>
                <w:sz w:val="20"/>
                <w:lang w:val="nl-NL"/>
              </w:rPr>
              <w:t xml:space="preserve">(1 balss) </w:t>
            </w:r>
          </w:p>
          <w:p>
            <w:pPr>
              <w:spacing w:after="0"/>
              <w:jc w:val="left"/>
              <w:rPr>
                <w:i/>
                <w:iCs/>
                <w:noProof/>
                <w:color w:val="000000"/>
                <w:sz w:val="20"/>
                <w:lang w:val="nl-NL"/>
              </w:rPr>
            </w:pPr>
          </w:p>
          <w:p>
            <w:pPr>
              <w:spacing w:after="0"/>
              <w:jc w:val="left"/>
              <w:rPr>
                <w:noProof/>
                <w:sz w:val="20"/>
                <w:lang w:val="nl-NL"/>
              </w:rPr>
            </w:pPr>
            <w:r>
              <w:rPr>
                <w:noProof/>
                <w:sz w:val="20"/>
                <w:lang w:val="nl-NL"/>
              </w:rPr>
              <w:t xml:space="preserve">NL </w:t>
            </w:r>
            <w:r>
              <w:rPr>
                <w:i/>
                <w:iCs/>
                <w:noProof/>
                <w:color w:val="000000"/>
                <w:sz w:val="20"/>
                <w:lang w:val="nl-NL"/>
              </w:rPr>
              <w:t xml:space="preserve">Tweede Kamer </w:t>
            </w:r>
            <w:r>
              <w:rPr>
                <w:noProof/>
                <w:sz w:val="20"/>
                <w:lang w:val="nl-NL"/>
              </w:rPr>
              <w:t>(1 balss)</w:t>
            </w:r>
          </w:p>
          <w:p>
            <w:pPr>
              <w:spacing w:after="0"/>
              <w:jc w:val="left"/>
              <w:rPr>
                <w:noProof/>
                <w:sz w:val="20"/>
                <w:lang w:val="nl-NL"/>
              </w:rPr>
            </w:pPr>
          </w:p>
          <w:p>
            <w:pPr>
              <w:spacing w:after="0"/>
              <w:jc w:val="left"/>
              <w:rPr>
                <w:noProof/>
                <w:sz w:val="20"/>
              </w:rPr>
            </w:pPr>
            <w:r>
              <w:rPr>
                <w:noProof/>
                <w:sz w:val="20"/>
              </w:rPr>
              <w:t xml:space="preserve">PL </w:t>
            </w:r>
            <w:r>
              <w:rPr>
                <w:i/>
                <w:noProof/>
                <w:sz w:val="20"/>
              </w:rPr>
              <w:t>Sejm</w:t>
            </w:r>
            <w:r>
              <w:rPr>
                <w:noProof/>
                <w:sz w:val="20"/>
              </w:rPr>
              <w:t xml:space="preserve"> (1 balss)</w:t>
            </w:r>
          </w:p>
          <w:p>
            <w:pPr>
              <w:spacing w:after="0"/>
              <w:jc w:val="left"/>
              <w:rPr>
                <w:noProof/>
                <w:sz w:val="20"/>
              </w:rPr>
            </w:pPr>
          </w:p>
          <w:p>
            <w:pPr>
              <w:spacing w:after="0"/>
              <w:jc w:val="left"/>
              <w:rPr>
                <w:noProof/>
                <w:sz w:val="20"/>
              </w:rPr>
            </w:pPr>
            <w:r>
              <w:rPr>
                <w:noProof/>
                <w:sz w:val="20"/>
              </w:rPr>
              <w:t xml:space="preserve">PL </w:t>
            </w:r>
            <w:r>
              <w:rPr>
                <w:i/>
                <w:noProof/>
                <w:sz w:val="20"/>
              </w:rPr>
              <w:t>Senat</w:t>
            </w:r>
            <w:r>
              <w:rPr>
                <w:noProof/>
                <w:sz w:val="20"/>
              </w:rPr>
              <w:t xml:space="preserve"> (1 balss)</w:t>
            </w:r>
          </w:p>
        </w:tc>
      </w:tr>
      <w:tr>
        <w:trPr>
          <w:cantSplit/>
        </w:trPr>
        <w:tc>
          <w:tcPr>
            <w:tcW w:w="414" w:type="dxa"/>
            <w:shd w:val="clear" w:color="auto" w:fill="auto"/>
          </w:tcPr>
          <w:p>
            <w:pPr>
              <w:spacing w:after="0"/>
              <w:jc w:val="left"/>
              <w:rPr>
                <w:noProof/>
                <w:sz w:val="20"/>
              </w:rPr>
            </w:pPr>
            <w:r>
              <w:rPr>
                <w:noProof/>
                <w:sz w:val="20"/>
              </w:rPr>
              <w:t>4</w:t>
            </w:r>
          </w:p>
        </w:tc>
        <w:tc>
          <w:tcPr>
            <w:tcW w:w="1977" w:type="dxa"/>
            <w:shd w:val="clear" w:color="auto" w:fill="auto"/>
          </w:tcPr>
          <w:p>
            <w:pPr>
              <w:spacing w:after="0"/>
              <w:jc w:val="left"/>
              <w:rPr>
                <w:noProof/>
                <w:color w:val="000000"/>
                <w:sz w:val="20"/>
              </w:rPr>
            </w:pPr>
            <w:r>
              <w:rPr>
                <w:noProof/>
                <w:color w:val="000000"/>
                <w:sz w:val="20"/>
              </w:rPr>
              <w:t>COM(2016) 821</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direktīvai, kas attiecas uz to, kā īstenot Direktīvu 2006/123/EK par pakalpojumiem iekšējā tirgū, ar ko nosaka </w:t>
            </w:r>
            <w:r>
              <w:rPr>
                <w:b/>
                <w:noProof/>
                <w:color w:val="000000"/>
                <w:sz w:val="20"/>
              </w:rPr>
              <w:t>ar pakalpojumiem saistītu atļauju piešķiršanas sistēmu un prasību paziņošanas procedūru</w:t>
            </w:r>
            <w:r>
              <w:rPr>
                <w:noProof/>
                <w:color w:val="000000"/>
                <w:sz w:val="20"/>
              </w:rPr>
              <w:t xml:space="preserve"> un ar ko groza Direktīvu 2006/123/EK un Regulu (ES) Nr. 1024/2012 par </w:t>
            </w:r>
            <w:r>
              <w:rPr>
                <w:b/>
                <w:noProof/>
                <w:color w:val="000000"/>
                <w:sz w:val="20"/>
              </w:rPr>
              <w:t>administratīvo sadarbību, izmantojot Iekšējā tirgus informācijas sistēmu</w:t>
            </w:r>
          </w:p>
        </w:tc>
        <w:tc>
          <w:tcPr>
            <w:tcW w:w="1356" w:type="dxa"/>
            <w:shd w:val="clear" w:color="auto" w:fill="auto"/>
          </w:tcPr>
          <w:p>
            <w:pPr>
              <w:spacing w:after="0"/>
              <w:jc w:val="center"/>
              <w:rPr>
                <w:noProof/>
                <w:color w:val="000000"/>
                <w:sz w:val="20"/>
              </w:rPr>
            </w:pPr>
            <w:r>
              <w:rPr>
                <w:noProof/>
                <w:color w:val="000000"/>
                <w:sz w:val="20"/>
              </w:rPr>
              <w:t>4</w:t>
            </w:r>
          </w:p>
        </w:tc>
        <w:tc>
          <w:tcPr>
            <w:tcW w:w="1337" w:type="dxa"/>
            <w:shd w:val="clear" w:color="auto" w:fill="auto"/>
          </w:tcPr>
          <w:p>
            <w:pPr>
              <w:spacing w:after="0"/>
              <w:jc w:val="center"/>
              <w:rPr>
                <w:noProof/>
                <w:color w:val="000000"/>
                <w:sz w:val="20"/>
              </w:rPr>
            </w:pPr>
            <w:r>
              <w:rPr>
                <w:noProof/>
                <w:color w:val="000000"/>
                <w:sz w:val="20"/>
              </w:rPr>
              <w:t>4</w:t>
            </w:r>
          </w:p>
        </w:tc>
        <w:tc>
          <w:tcPr>
            <w:tcW w:w="284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balss) </w:t>
            </w:r>
          </w:p>
          <w:p>
            <w:pPr>
              <w:spacing w:after="0"/>
              <w:jc w:val="left"/>
              <w:rPr>
                <w:noProof/>
                <w:sz w:val="20"/>
              </w:rPr>
            </w:pPr>
          </w:p>
          <w:p>
            <w:pPr>
              <w:spacing w:after="0"/>
              <w:jc w:val="left"/>
              <w:rPr>
                <w:noProof/>
                <w:sz w:val="20"/>
              </w:rPr>
            </w:pPr>
            <w:r>
              <w:rPr>
                <w:noProof/>
                <w:sz w:val="20"/>
              </w:rPr>
              <w:t xml:space="preserve">DE </w:t>
            </w:r>
            <w:r>
              <w:rPr>
                <w:i/>
                <w:noProof/>
                <w:sz w:val="20"/>
              </w:rPr>
              <w:t>Bundesrat</w:t>
            </w:r>
            <w:r>
              <w:rPr>
                <w:noProof/>
                <w:sz w:val="20"/>
              </w:rPr>
              <w:t xml:space="preserve"> (1 balss) </w:t>
            </w:r>
          </w:p>
          <w:p>
            <w:pPr>
              <w:spacing w:after="0"/>
              <w:jc w:val="left"/>
              <w:rPr>
                <w:noProof/>
                <w:sz w:val="20"/>
              </w:rPr>
            </w:pPr>
          </w:p>
          <w:p>
            <w:pPr>
              <w:spacing w:after="0"/>
              <w:jc w:val="left"/>
              <w:rPr>
                <w:noProof/>
                <w:sz w:val="20"/>
              </w:rPr>
            </w:pPr>
            <w:r>
              <w:rPr>
                <w:noProof/>
                <w:sz w:val="20"/>
              </w:rPr>
              <w:t xml:space="preserve">FR </w:t>
            </w:r>
            <w:r>
              <w:rPr>
                <w:i/>
                <w:iCs/>
                <w:noProof/>
                <w:color w:val="000000"/>
                <w:sz w:val="20"/>
              </w:rPr>
              <w:t xml:space="preserve">Assemblée nationale </w:t>
            </w:r>
            <w:r>
              <w:rPr>
                <w:noProof/>
                <w:sz w:val="20"/>
              </w:rPr>
              <w:t xml:space="preserve">(1 balss) </w:t>
            </w:r>
          </w:p>
          <w:p>
            <w:pPr>
              <w:spacing w:after="0"/>
              <w:jc w:val="left"/>
              <w:rPr>
                <w:i/>
                <w:iCs/>
                <w:noProof/>
                <w:color w:val="000000"/>
                <w:sz w:val="20"/>
              </w:rPr>
            </w:pPr>
          </w:p>
          <w:p>
            <w:pPr>
              <w:spacing w:after="0"/>
              <w:jc w:val="left"/>
              <w:rPr>
                <w:noProof/>
                <w:sz w:val="20"/>
              </w:rPr>
            </w:pPr>
            <w:r>
              <w:rPr>
                <w:noProof/>
                <w:sz w:val="20"/>
              </w:rPr>
              <w:t xml:space="preserve">FR </w:t>
            </w:r>
            <w:r>
              <w:rPr>
                <w:i/>
                <w:noProof/>
                <w:sz w:val="20"/>
              </w:rPr>
              <w:t>Sénat</w:t>
            </w:r>
            <w:r>
              <w:rPr>
                <w:noProof/>
                <w:sz w:val="20"/>
              </w:rPr>
              <w:t xml:space="preserve"> (1 balss) </w:t>
            </w:r>
          </w:p>
        </w:tc>
      </w:tr>
      <w:tr>
        <w:trPr>
          <w:cantSplit/>
        </w:trPr>
        <w:tc>
          <w:tcPr>
            <w:tcW w:w="414" w:type="dxa"/>
            <w:shd w:val="clear" w:color="auto" w:fill="auto"/>
          </w:tcPr>
          <w:p>
            <w:pPr>
              <w:spacing w:after="0"/>
              <w:jc w:val="left"/>
              <w:rPr>
                <w:noProof/>
                <w:sz w:val="20"/>
              </w:rPr>
            </w:pPr>
            <w:r>
              <w:rPr>
                <w:noProof/>
                <w:sz w:val="20"/>
              </w:rPr>
              <w:t>5</w:t>
            </w:r>
          </w:p>
        </w:tc>
        <w:tc>
          <w:tcPr>
            <w:tcW w:w="1977" w:type="dxa"/>
            <w:shd w:val="clear" w:color="auto" w:fill="auto"/>
          </w:tcPr>
          <w:p>
            <w:pPr>
              <w:spacing w:after="0"/>
              <w:jc w:val="left"/>
              <w:rPr>
                <w:noProof/>
                <w:color w:val="000000"/>
                <w:sz w:val="20"/>
              </w:rPr>
            </w:pPr>
            <w:r>
              <w:rPr>
                <w:noProof/>
                <w:color w:val="000000"/>
                <w:sz w:val="20"/>
              </w:rPr>
              <w:t>COM(2016) 864</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direktīvai par </w:t>
            </w:r>
            <w:r>
              <w:rPr>
                <w:b/>
                <w:noProof/>
                <w:color w:val="000000"/>
                <w:sz w:val="20"/>
              </w:rPr>
              <w:t>kopīgiem noteikumiem attiecībā uz elektroenerģijas iekšējo tirgu</w:t>
            </w:r>
            <w:r>
              <w:rPr>
                <w:noProof/>
                <w:color w:val="000000"/>
                <w:sz w:val="20"/>
              </w:rPr>
              <w:t xml:space="preserve"> (pārstrādāta redakcija) </w:t>
            </w:r>
          </w:p>
        </w:tc>
        <w:tc>
          <w:tcPr>
            <w:tcW w:w="1356" w:type="dxa"/>
            <w:shd w:val="clear" w:color="auto" w:fill="auto"/>
          </w:tcPr>
          <w:p>
            <w:pPr>
              <w:spacing w:after="0"/>
              <w:jc w:val="center"/>
              <w:rPr>
                <w:noProof/>
                <w:color w:val="000000"/>
                <w:sz w:val="20"/>
              </w:rPr>
            </w:pPr>
            <w:r>
              <w:rPr>
                <w:noProof/>
                <w:color w:val="000000"/>
                <w:sz w:val="20"/>
              </w:rPr>
              <w:t>3</w:t>
            </w:r>
          </w:p>
        </w:tc>
        <w:tc>
          <w:tcPr>
            <w:tcW w:w="1337" w:type="dxa"/>
            <w:shd w:val="clear" w:color="auto" w:fill="auto"/>
          </w:tcPr>
          <w:p>
            <w:pPr>
              <w:spacing w:after="0"/>
              <w:jc w:val="center"/>
              <w:rPr>
                <w:noProof/>
                <w:color w:val="000000"/>
                <w:sz w:val="20"/>
              </w:rPr>
            </w:pPr>
            <w:r>
              <w:rPr>
                <w:noProof/>
                <w:color w:val="000000"/>
                <w:sz w:val="20"/>
              </w:rPr>
              <w:t>4</w:t>
            </w:r>
          </w:p>
        </w:tc>
        <w:tc>
          <w:tcPr>
            <w:tcW w:w="2842" w:type="dxa"/>
            <w:tcBorders>
              <w:bottom w:val="single" w:sz="4" w:space="0" w:color="auto"/>
            </w:tcBorders>
            <w:shd w:val="clear" w:color="auto" w:fill="auto"/>
          </w:tcPr>
          <w:p>
            <w:pPr>
              <w:spacing w:after="0"/>
              <w:jc w:val="left"/>
              <w:rPr>
                <w:noProof/>
                <w:sz w:val="20"/>
              </w:rPr>
            </w:pPr>
            <w:r>
              <w:rPr>
                <w:noProof/>
                <w:sz w:val="20"/>
              </w:rPr>
              <w:t xml:space="preserve">AT </w:t>
            </w:r>
            <w:r>
              <w:rPr>
                <w:i/>
                <w:noProof/>
                <w:sz w:val="20"/>
              </w:rPr>
              <w:t>Bundesrat</w:t>
            </w:r>
            <w:r>
              <w:rPr>
                <w:noProof/>
                <w:sz w:val="20"/>
              </w:rPr>
              <w:t xml:space="preserve"> (1 balss) </w:t>
            </w:r>
          </w:p>
          <w:p>
            <w:pPr>
              <w:spacing w:after="0"/>
              <w:jc w:val="left"/>
              <w:rPr>
                <w:noProof/>
                <w:sz w:val="20"/>
              </w:rPr>
            </w:pPr>
          </w:p>
          <w:p>
            <w:pPr>
              <w:spacing w:after="0"/>
              <w:jc w:val="left"/>
              <w:rPr>
                <w:noProof/>
                <w:sz w:val="20"/>
              </w:rPr>
            </w:pPr>
            <w:r>
              <w:rPr>
                <w:noProof/>
                <w:sz w:val="20"/>
              </w:rPr>
              <w:t xml:space="preserve">HU </w:t>
            </w:r>
            <w:r>
              <w:rPr>
                <w:i/>
                <w:iCs/>
                <w:noProof/>
                <w:color w:val="000000"/>
                <w:sz w:val="20"/>
              </w:rPr>
              <w:t>Országgyűlés</w:t>
            </w:r>
            <w:r>
              <w:rPr>
                <w:noProof/>
                <w:sz w:val="20"/>
              </w:rPr>
              <w:t xml:space="preserve"> (2 balsis) </w:t>
            </w:r>
          </w:p>
          <w:p>
            <w:pPr>
              <w:spacing w:after="0"/>
              <w:jc w:val="left"/>
              <w:rPr>
                <w:noProof/>
                <w:sz w:val="20"/>
              </w:rPr>
            </w:pPr>
          </w:p>
          <w:p>
            <w:pPr>
              <w:spacing w:after="0"/>
              <w:jc w:val="left"/>
              <w:rPr>
                <w:noProof/>
                <w:sz w:val="20"/>
              </w:rPr>
            </w:pPr>
            <w:r>
              <w:rPr>
                <w:noProof/>
                <w:sz w:val="20"/>
              </w:rPr>
              <w:t xml:space="preserve">PL </w:t>
            </w:r>
            <w:r>
              <w:rPr>
                <w:i/>
                <w:noProof/>
                <w:sz w:val="20"/>
              </w:rPr>
              <w:t>Senat</w:t>
            </w:r>
            <w:r>
              <w:rPr>
                <w:noProof/>
                <w:sz w:val="20"/>
              </w:rPr>
              <w:t xml:space="preserve"> (1 balss) </w:t>
            </w:r>
          </w:p>
        </w:tc>
      </w:tr>
      <w:tr>
        <w:trPr>
          <w:cantSplit/>
        </w:trPr>
        <w:tc>
          <w:tcPr>
            <w:tcW w:w="414" w:type="dxa"/>
            <w:shd w:val="clear" w:color="auto" w:fill="auto"/>
          </w:tcPr>
          <w:p>
            <w:pPr>
              <w:spacing w:after="0"/>
              <w:jc w:val="left"/>
              <w:rPr>
                <w:noProof/>
                <w:sz w:val="20"/>
              </w:rPr>
            </w:pPr>
            <w:r>
              <w:rPr>
                <w:noProof/>
                <w:sz w:val="20"/>
              </w:rPr>
              <w:t>6</w:t>
            </w:r>
          </w:p>
        </w:tc>
        <w:tc>
          <w:tcPr>
            <w:tcW w:w="1977" w:type="dxa"/>
            <w:shd w:val="clear" w:color="auto" w:fill="auto"/>
          </w:tcPr>
          <w:p>
            <w:pPr>
              <w:spacing w:after="0"/>
              <w:jc w:val="left"/>
              <w:rPr>
                <w:noProof/>
                <w:color w:val="000000"/>
                <w:sz w:val="20"/>
              </w:rPr>
            </w:pPr>
            <w:r>
              <w:rPr>
                <w:noProof/>
                <w:color w:val="000000"/>
                <w:sz w:val="20"/>
              </w:rPr>
              <w:t>COM(2016) 863</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regulai, ar ko izveido </w:t>
            </w:r>
            <w:r>
              <w:rPr>
                <w:b/>
                <w:noProof/>
                <w:color w:val="000000"/>
                <w:sz w:val="20"/>
              </w:rPr>
              <w:t xml:space="preserve">Eiropas Savienības Energoregulatoru sadarbības aģentūru </w:t>
            </w:r>
            <w:r>
              <w:rPr>
                <w:noProof/>
                <w:color w:val="000000"/>
                <w:sz w:val="20"/>
              </w:rPr>
              <w:t>(pārstrādāta redakcija)</w:t>
            </w:r>
          </w:p>
        </w:tc>
        <w:tc>
          <w:tcPr>
            <w:tcW w:w="1356" w:type="dxa"/>
            <w:shd w:val="clear" w:color="auto" w:fill="auto"/>
          </w:tcPr>
          <w:p>
            <w:pPr>
              <w:spacing w:after="0"/>
              <w:jc w:val="center"/>
              <w:rPr>
                <w:noProof/>
                <w:color w:val="000000"/>
                <w:sz w:val="20"/>
              </w:rPr>
            </w:pPr>
            <w:r>
              <w:rPr>
                <w:noProof/>
                <w:color w:val="000000"/>
                <w:sz w:val="20"/>
              </w:rPr>
              <w:t>3</w:t>
            </w:r>
          </w:p>
        </w:tc>
        <w:tc>
          <w:tcPr>
            <w:tcW w:w="1337" w:type="dxa"/>
            <w:shd w:val="clear" w:color="auto" w:fill="auto"/>
          </w:tcPr>
          <w:p>
            <w:pPr>
              <w:spacing w:after="0"/>
              <w:jc w:val="center"/>
              <w:rPr>
                <w:noProof/>
                <w:color w:val="000000"/>
                <w:sz w:val="20"/>
              </w:rPr>
            </w:pPr>
            <w:r>
              <w:rPr>
                <w:noProof/>
                <w:color w:val="000000"/>
                <w:sz w:val="20"/>
              </w:rPr>
              <w:t>3</w:t>
            </w:r>
          </w:p>
        </w:tc>
        <w:tc>
          <w:tcPr>
            <w:tcW w:w="2842" w:type="dxa"/>
            <w:tcBorders>
              <w:bottom w:val="single" w:sz="4" w:space="0" w:color="auto"/>
            </w:tcBorders>
            <w:shd w:val="clear" w:color="auto" w:fill="auto"/>
          </w:tcPr>
          <w:p>
            <w:pPr>
              <w:spacing w:after="0"/>
              <w:jc w:val="left"/>
              <w:rPr>
                <w:noProof/>
                <w:sz w:val="20"/>
                <w:lang w:val="sv-SE"/>
              </w:rPr>
            </w:pPr>
            <w:r>
              <w:rPr>
                <w:noProof/>
                <w:sz w:val="20"/>
                <w:lang w:val="sv-SE"/>
              </w:rPr>
              <w:t xml:space="preserve">DE </w:t>
            </w:r>
            <w:r>
              <w:rPr>
                <w:i/>
                <w:noProof/>
                <w:sz w:val="20"/>
                <w:lang w:val="sv-SE"/>
              </w:rPr>
              <w:t>Bundestag</w:t>
            </w:r>
            <w:r>
              <w:rPr>
                <w:noProof/>
                <w:sz w:val="20"/>
                <w:lang w:val="sv-SE"/>
              </w:rPr>
              <w:t xml:space="preserve"> (1 balss) </w:t>
            </w:r>
          </w:p>
          <w:p>
            <w:pPr>
              <w:spacing w:after="0"/>
              <w:jc w:val="left"/>
              <w:rPr>
                <w:noProof/>
                <w:sz w:val="20"/>
                <w:lang w:val="sv-SE"/>
              </w:rPr>
            </w:pPr>
          </w:p>
          <w:p>
            <w:pPr>
              <w:spacing w:after="0"/>
              <w:jc w:val="left"/>
              <w:rPr>
                <w:noProof/>
                <w:sz w:val="20"/>
                <w:lang w:val="sv-SE"/>
              </w:rPr>
            </w:pPr>
            <w:r>
              <w:rPr>
                <w:noProof/>
                <w:sz w:val="20"/>
                <w:lang w:val="sv-SE"/>
              </w:rPr>
              <w:t xml:space="preserve">FR </w:t>
            </w:r>
            <w:r>
              <w:rPr>
                <w:i/>
                <w:noProof/>
                <w:sz w:val="20"/>
                <w:lang w:val="sv-SE"/>
              </w:rPr>
              <w:t>Sénat</w:t>
            </w:r>
            <w:r>
              <w:rPr>
                <w:noProof/>
                <w:sz w:val="20"/>
                <w:lang w:val="sv-SE"/>
              </w:rPr>
              <w:t xml:space="preserve"> (1 balss) </w:t>
            </w:r>
          </w:p>
          <w:p>
            <w:pPr>
              <w:spacing w:after="0"/>
              <w:jc w:val="left"/>
              <w:rPr>
                <w:noProof/>
                <w:sz w:val="20"/>
                <w:lang w:val="sv-SE"/>
              </w:rPr>
            </w:pPr>
          </w:p>
          <w:p>
            <w:pPr>
              <w:spacing w:after="0"/>
              <w:jc w:val="left"/>
              <w:rPr>
                <w:noProof/>
                <w:sz w:val="20"/>
              </w:rPr>
            </w:pPr>
            <w:r>
              <w:rPr>
                <w:iCs/>
                <w:noProof/>
                <w:color w:val="000000"/>
                <w:sz w:val="20"/>
              </w:rPr>
              <w:t xml:space="preserve">RO </w:t>
            </w:r>
            <w:r>
              <w:rPr>
                <w:i/>
                <w:iCs/>
                <w:noProof/>
                <w:color w:val="000000"/>
                <w:sz w:val="20"/>
              </w:rPr>
              <w:t>Senatul</w:t>
            </w:r>
            <w:r>
              <w:rPr>
                <w:iCs/>
                <w:noProof/>
                <w:color w:val="000000"/>
                <w:sz w:val="20"/>
              </w:rPr>
              <w:t xml:space="preserve"> </w:t>
            </w:r>
            <w:r>
              <w:rPr>
                <w:noProof/>
                <w:sz w:val="20"/>
              </w:rPr>
              <w:t xml:space="preserve">(1 balss) </w:t>
            </w:r>
          </w:p>
        </w:tc>
      </w:tr>
      <w:tr>
        <w:trPr>
          <w:cantSplit/>
        </w:trPr>
        <w:tc>
          <w:tcPr>
            <w:tcW w:w="414" w:type="dxa"/>
            <w:shd w:val="clear" w:color="auto" w:fill="auto"/>
          </w:tcPr>
          <w:p>
            <w:pPr>
              <w:spacing w:after="0"/>
              <w:jc w:val="left"/>
              <w:rPr>
                <w:noProof/>
                <w:sz w:val="20"/>
              </w:rPr>
            </w:pPr>
            <w:r>
              <w:rPr>
                <w:noProof/>
                <w:sz w:val="20"/>
              </w:rPr>
              <w:t>7</w:t>
            </w:r>
          </w:p>
        </w:tc>
        <w:tc>
          <w:tcPr>
            <w:tcW w:w="1977" w:type="dxa"/>
            <w:shd w:val="clear" w:color="auto" w:fill="auto"/>
          </w:tcPr>
          <w:p>
            <w:pPr>
              <w:spacing w:after="0"/>
              <w:jc w:val="left"/>
              <w:rPr>
                <w:noProof/>
                <w:color w:val="000000"/>
                <w:sz w:val="20"/>
              </w:rPr>
            </w:pPr>
            <w:r>
              <w:rPr>
                <w:noProof/>
                <w:color w:val="000000"/>
                <w:sz w:val="20"/>
              </w:rPr>
              <w:t>COM(2016) 765</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direktīvai, ar ko groza Direktīvu 2010/31/ES par </w:t>
            </w:r>
            <w:r>
              <w:rPr>
                <w:b/>
                <w:noProof/>
                <w:color w:val="000000"/>
                <w:sz w:val="20"/>
              </w:rPr>
              <w:t xml:space="preserve">ēku energoefektivitāti </w:t>
            </w:r>
          </w:p>
        </w:tc>
        <w:tc>
          <w:tcPr>
            <w:tcW w:w="1356" w:type="dxa"/>
            <w:shd w:val="clear" w:color="auto" w:fill="auto"/>
          </w:tcPr>
          <w:p>
            <w:pPr>
              <w:spacing w:after="0"/>
              <w:jc w:val="center"/>
              <w:rPr>
                <w:noProof/>
                <w:color w:val="000000"/>
                <w:sz w:val="20"/>
              </w:rPr>
            </w:pPr>
            <w:r>
              <w:rPr>
                <w:noProof/>
                <w:color w:val="000000"/>
                <w:sz w:val="20"/>
              </w:rPr>
              <w:t>2</w:t>
            </w:r>
          </w:p>
        </w:tc>
        <w:tc>
          <w:tcPr>
            <w:tcW w:w="1337" w:type="dxa"/>
            <w:shd w:val="clear" w:color="auto" w:fill="auto"/>
          </w:tcPr>
          <w:p>
            <w:pPr>
              <w:spacing w:after="0"/>
              <w:jc w:val="center"/>
              <w:rPr>
                <w:noProof/>
                <w:color w:val="000000"/>
                <w:sz w:val="20"/>
              </w:rPr>
            </w:pPr>
            <w:r>
              <w:rPr>
                <w:noProof/>
                <w:color w:val="000000"/>
                <w:sz w:val="20"/>
              </w:rPr>
              <w:t>2</w:t>
            </w:r>
          </w:p>
        </w:tc>
        <w:tc>
          <w:tcPr>
            <w:tcW w:w="2842" w:type="dxa"/>
            <w:tcBorders>
              <w:bottom w:val="single" w:sz="4" w:space="0" w:color="auto"/>
            </w:tcBorders>
            <w:shd w:val="clear" w:color="auto" w:fill="auto"/>
          </w:tcPr>
          <w:p>
            <w:pPr>
              <w:spacing w:after="0"/>
              <w:jc w:val="left"/>
              <w:rPr>
                <w:noProof/>
                <w:sz w:val="20"/>
                <w:lang w:val="nl-NL"/>
              </w:rPr>
            </w:pPr>
            <w:r>
              <w:rPr>
                <w:noProof/>
                <w:sz w:val="20"/>
                <w:lang w:val="nl-NL"/>
              </w:rPr>
              <w:t xml:space="preserve">NL </w:t>
            </w:r>
            <w:r>
              <w:rPr>
                <w:i/>
                <w:iCs/>
                <w:noProof/>
                <w:color w:val="000000"/>
                <w:sz w:val="20"/>
                <w:lang w:val="nl-NL"/>
              </w:rPr>
              <w:t xml:space="preserve">Eerste Kamer </w:t>
            </w:r>
            <w:r>
              <w:rPr>
                <w:noProof/>
                <w:sz w:val="20"/>
                <w:lang w:val="nl-NL"/>
              </w:rPr>
              <w:t xml:space="preserve">(1 balss) </w:t>
            </w:r>
          </w:p>
          <w:p>
            <w:pPr>
              <w:spacing w:after="0"/>
              <w:jc w:val="left"/>
              <w:rPr>
                <w:i/>
                <w:iCs/>
                <w:noProof/>
                <w:color w:val="000000"/>
                <w:sz w:val="20"/>
                <w:lang w:val="nl-NL"/>
              </w:rPr>
            </w:pPr>
          </w:p>
          <w:p>
            <w:pPr>
              <w:spacing w:after="0"/>
              <w:jc w:val="left"/>
              <w:rPr>
                <w:noProof/>
                <w:sz w:val="20"/>
                <w:lang w:val="nl-NL"/>
              </w:rPr>
            </w:pPr>
            <w:r>
              <w:rPr>
                <w:noProof/>
                <w:sz w:val="20"/>
                <w:lang w:val="nl-NL"/>
              </w:rPr>
              <w:t xml:space="preserve">NL </w:t>
            </w:r>
            <w:r>
              <w:rPr>
                <w:i/>
                <w:iCs/>
                <w:noProof/>
                <w:color w:val="000000"/>
                <w:sz w:val="20"/>
                <w:lang w:val="nl-NL"/>
              </w:rPr>
              <w:t xml:space="preserve">Tweede Kamer </w:t>
            </w:r>
            <w:r>
              <w:rPr>
                <w:noProof/>
                <w:sz w:val="20"/>
                <w:lang w:val="nl-NL"/>
              </w:rPr>
              <w:t xml:space="preserve">(1 balss) </w:t>
            </w:r>
          </w:p>
          <w:p>
            <w:pPr>
              <w:spacing w:after="0"/>
              <w:jc w:val="left"/>
              <w:rPr>
                <w:noProof/>
                <w:sz w:val="20"/>
                <w:lang w:val="nl-NL"/>
              </w:rPr>
            </w:pPr>
          </w:p>
          <w:p>
            <w:pPr>
              <w:spacing w:after="0"/>
              <w:jc w:val="left"/>
              <w:rPr>
                <w:noProof/>
                <w:sz w:val="20"/>
                <w:lang w:val="nl-NL"/>
              </w:rPr>
            </w:pPr>
          </w:p>
        </w:tc>
      </w:tr>
      <w:tr>
        <w:trPr>
          <w:cantSplit/>
        </w:trPr>
        <w:tc>
          <w:tcPr>
            <w:tcW w:w="414" w:type="dxa"/>
            <w:shd w:val="clear" w:color="auto" w:fill="auto"/>
          </w:tcPr>
          <w:p>
            <w:pPr>
              <w:spacing w:after="0"/>
              <w:jc w:val="left"/>
              <w:rPr>
                <w:noProof/>
                <w:sz w:val="20"/>
              </w:rPr>
            </w:pPr>
            <w:r>
              <w:rPr>
                <w:noProof/>
                <w:sz w:val="20"/>
              </w:rPr>
              <w:t>8</w:t>
            </w:r>
          </w:p>
        </w:tc>
        <w:tc>
          <w:tcPr>
            <w:tcW w:w="1977" w:type="dxa"/>
            <w:shd w:val="clear" w:color="auto" w:fill="auto"/>
          </w:tcPr>
          <w:p>
            <w:pPr>
              <w:spacing w:after="0"/>
              <w:jc w:val="left"/>
              <w:rPr>
                <w:noProof/>
                <w:color w:val="000000"/>
                <w:sz w:val="20"/>
              </w:rPr>
            </w:pPr>
            <w:r>
              <w:rPr>
                <w:noProof/>
                <w:color w:val="000000"/>
                <w:sz w:val="20"/>
              </w:rPr>
              <w:t>COM(2016) 723</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direktīvai par </w:t>
            </w:r>
            <w:r>
              <w:rPr>
                <w:b/>
                <w:noProof/>
                <w:color w:val="000000"/>
                <w:sz w:val="20"/>
              </w:rPr>
              <w:t>preventīvās pārstrukturēšanas regulējumu, otro iespēju un pārstrukturēšanas, maksātnespējas un saistību dzēšanas procedūru efektivitātes palielināšanas pasākumiem</w:t>
            </w:r>
            <w:r>
              <w:rPr>
                <w:noProof/>
                <w:color w:val="000000"/>
                <w:sz w:val="20"/>
              </w:rPr>
              <w:t xml:space="preserve"> un ar ko groza Direktīvu 2012/30/ES </w:t>
            </w:r>
          </w:p>
        </w:tc>
        <w:tc>
          <w:tcPr>
            <w:tcW w:w="1356" w:type="dxa"/>
            <w:shd w:val="clear" w:color="auto" w:fill="auto"/>
          </w:tcPr>
          <w:p>
            <w:pPr>
              <w:spacing w:after="0"/>
              <w:jc w:val="center"/>
              <w:rPr>
                <w:noProof/>
                <w:color w:val="000000"/>
                <w:sz w:val="20"/>
              </w:rPr>
            </w:pPr>
            <w:r>
              <w:rPr>
                <w:noProof/>
                <w:color w:val="000000"/>
                <w:sz w:val="20"/>
              </w:rPr>
              <w:t>2</w:t>
            </w:r>
          </w:p>
        </w:tc>
        <w:tc>
          <w:tcPr>
            <w:tcW w:w="1337" w:type="dxa"/>
            <w:shd w:val="clear" w:color="auto" w:fill="auto"/>
          </w:tcPr>
          <w:p>
            <w:pPr>
              <w:spacing w:after="0"/>
              <w:jc w:val="center"/>
              <w:rPr>
                <w:noProof/>
                <w:color w:val="000000"/>
                <w:sz w:val="20"/>
              </w:rPr>
            </w:pPr>
            <w:r>
              <w:rPr>
                <w:noProof/>
                <w:color w:val="000000"/>
                <w:sz w:val="20"/>
              </w:rPr>
              <w:t>2</w:t>
            </w:r>
          </w:p>
        </w:tc>
        <w:tc>
          <w:tcPr>
            <w:tcW w:w="2842" w:type="dxa"/>
            <w:tcBorders>
              <w:bottom w:val="single" w:sz="4" w:space="0" w:color="auto"/>
            </w:tcBorders>
            <w:shd w:val="clear" w:color="auto" w:fill="auto"/>
          </w:tcPr>
          <w:p>
            <w:pPr>
              <w:spacing w:after="0"/>
              <w:jc w:val="left"/>
              <w:rPr>
                <w:noProof/>
                <w:sz w:val="20"/>
              </w:rPr>
            </w:pPr>
            <w:r>
              <w:rPr>
                <w:noProof/>
                <w:sz w:val="20"/>
              </w:rPr>
              <w:t xml:space="preserve">IE </w:t>
            </w:r>
            <w:r>
              <w:rPr>
                <w:i/>
                <w:iCs/>
                <w:noProof/>
                <w:color w:val="000000"/>
                <w:sz w:val="20"/>
              </w:rPr>
              <w:t xml:space="preserve">Seanad Éireann </w:t>
            </w:r>
            <w:r>
              <w:rPr>
                <w:noProof/>
                <w:sz w:val="20"/>
              </w:rPr>
              <w:t xml:space="preserve">(1 balss) </w:t>
            </w:r>
          </w:p>
          <w:p>
            <w:pPr>
              <w:spacing w:after="0"/>
              <w:jc w:val="left"/>
              <w:rPr>
                <w:noProof/>
                <w:sz w:val="20"/>
              </w:rPr>
            </w:pPr>
          </w:p>
          <w:p>
            <w:pPr>
              <w:spacing w:after="0"/>
              <w:jc w:val="left"/>
              <w:rPr>
                <w:noProof/>
                <w:sz w:val="20"/>
              </w:rPr>
            </w:pPr>
            <w:r>
              <w:rPr>
                <w:noProof/>
                <w:sz w:val="20"/>
              </w:rPr>
              <w:t xml:space="preserve">IE </w:t>
            </w:r>
            <w:r>
              <w:rPr>
                <w:i/>
                <w:iCs/>
                <w:noProof/>
                <w:color w:val="000000"/>
                <w:sz w:val="20"/>
              </w:rPr>
              <w:t>Dáil</w:t>
            </w:r>
            <w:r>
              <w:rPr>
                <w:noProof/>
                <w:color w:val="000000"/>
                <w:sz w:val="20"/>
              </w:rPr>
              <w:t xml:space="preserve"> </w:t>
            </w:r>
            <w:r>
              <w:rPr>
                <w:i/>
                <w:iCs/>
                <w:noProof/>
                <w:color w:val="000000"/>
                <w:sz w:val="20"/>
              </w:rPr>
              <w:t xml:space="preserve">Éireann </w:t>
            </w:r>
            <w:r>
              <w:rPr>
                <w:noProof/>
                <w:sz w:val="20"/>
              </w:rPr>
              <w:t>(1 balss)</w:t>
            </w:r>
          </w:p>
        </w:tc>
      </w:tr>
      <w:tr>
        <w:trPr>
          <w:cantSplit/>
        </w:trPr>
        <w:tc>
          <w:tcPr>
            <w:tcW w:w="414" w:type="dxa"/>
            <w:shd w:val="clear" w:color="auto" w:fill="auto"/>
          </w:tcPr>
          <w:p>
            <w:pPr>
              <w:spacing w:after="0"/>
              <w:jc w:val="left"/>
              <w:rPr>
                <w:noProof/>
                <w:sz w:val="20"/>
              </w:rPr>
            </w:pPr>
            <w:r>
              <w:rPr>
                <w:noProof/>
                <w:sz w:val="20"/>
              </w:rPr>
              <w:t>9</w:t>
            </w:r>
          </w:p>
        </w:tc>
        <w:tc>
          <w:tcPr>
            <w:tcW w:w="1977" w:type="dxa"/>
            <w:shd w:val="clear" w:color="auto" w:fill="auto"/>
          </w:tcPr>
          <w:p>
            <w:pPr>
              <w:spacing w:after="0"/>
              <w:jc w:val="left"/>
              <w:rPr>
                <w:noProof/>
                <w:color w:val="000000"/>
                <w:sz w:val="20"/>
              </w:rPr>
            </w:pPr>
            <w:r>
              <w:rPr>
                <w:noProof/>
                <w:color w:val="000000"/>
                <w:sz w:val="20"/>
              </w:rPr>
              <w:t>COM(2016) 823</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direktīvai par </w:t>
            </w:r>
            <w:r>
              <w:rPr>
                <w:b/>
                <w:noProof/>
                <w:color w:val="000000"/>
                <w:sz w:val="20"/>
              </w:rPr>
              <w:t>tiesisko un darbības regulējumu Eiropas pakalpojumu e-kartei</w:t>
            </w:r>
            <w:r>
              <w:rPr>
                <w:b/>
                <w:bCs/>
                <w:noProof/>
                <w:color w:val="000000"/>
                <w:sz w:val="20"/>
              </w:rPr>
              <w:t xml:space="preserve"> </w:t>
            </w:r>
          </w:p>
        </w:tc>
        <w:tc>
          <w:tcPr>
            <w:tcW w:w="1356" w:type="dxa"/>
            <w:shd w:val="clear" w:color="auto" w:fill="auto"/>
          </w:tcPr>
          <w:p>
            <w:pPr>
              <w:spacing w:after="0"/>
              <w:jc w:val="center"/>
              <w:rPr>
                <w:noProof/>
                <w:color w:val="000000"/>
                <w:sz w:val="20"/>
              </w:rPr>
            </w:pPr>
            <w:r>
              <w:rPr>
                <w:noProof/>
                <w:color w:val="000000"/>
                <w:sz w:val="20"/>
              </w:rPr>
              <w:t>2</w:t>
            </w:r>
          </w:p>
        </w:tc>
        <w:tc>
          <w:tcPr>
            <w:tcW w:w="1337" w:type="dxa"/>
            <w:shd w:val="clear" w:color="auto" w:fill="auto"/>
          </w:tcPr>
          <w:p>
            <w:pPr>
              <w:spacing w:after="0"/>
              <w:jc w:val="center"/>
              <w:rPr>
                <w:noProof/>
                <w:color w:val="000000"/>
                <w:sz w:val="20"/>
              </w:rPr>
            </w:pPr>
            <w:r>
              <w:rPr>
                <w:noProof/>
                <w:color w:val="000000"/>
                <w:sz w:val="20"/>
              </w:rPr>
              <w:t>2</w:t>
            </w:r>
          </w:p>
        </w:tc>
        <w:tc>
          <w:tcPr>
            <w:tcW w:w="284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balss) </w:t>
            </w:r>
          </w:p>
          <w:p>
            <w:pPr>
              <w:spacing w:after="0"/>
              <w:jc w:val="left"/>
              <w:rPr>
                <w:noProof/>
                <w:sz w:val="20"/>
              </w:rPr>
            </w:pPr>
          </w:p>
          <w:p>
            <w:pPr>
              <w:spacing w:after="0"/>
              <w:jc w:val="left"/>
              <w:rPr>
                <w:noProof/>
                <w:sz w:val="20"/>
              </w:rPr>
            </w:pPr>
            <w:r>
              <w:rPr>
                <w:noProof/>
                <w:sz w:val="20"/>
              </w:rPr>
              <w:t xml:space="preserve">AT </w:t>
            </w:r>
            <w:r>
              <w:rPr>
                <w:i/>
                <w:noProof/>
                <w:sz w:val="20"/>
              </w:rPr>
              <w:t>Bundesrat</w:t>
            </w:r>
            <w:r>
              <w:rPr>
                <w:noProof/>
                <w:sz w:val="20"/>
              </w:rPr>
              <w:t xml:space="preserve"> (1 balss) </w:t>
            </w:r>
          </w:p>
        </w:tc>
      </w:tr>
      <w:tr>
        <w:trPr>
          <w:cantSplit/>
        </w:trPr>
        <w:tc>
          <w:tcPr>
            <w:tcW w:w="414" w:type="dxa"/>
            <w:shd w:val="clear" w:color="auto" w:fill="auto"/>
          </w:tcPr>
          <w:p>
            <w:pPr>
              <w:spacing w:after="0"/>
              <w:jc w:val="left"/>
              <w:rPr>
                <w:noProof/>
                <w:sz w:val="20"/>
              </w:rPr>
            </w:pPr>
            <w:r>
              <w:rPr>
                <w:noProof/>
                <w:sz w:val="20"/>
              </w:rPr>
              <w:t>10</w:t>
            </w:r>
          </w:p>
        </w:tc>
        <w:tc>
          <w:tcPr>
            <w:tcW w:w="1977" w:type="dxa"/>
            <w:shd w:val="clear" w:color="auto" w:fill="auto"/>
          </w:tcPr>
          <w:p>
            <w:pPr>
              <w:spacing w:after="0"/>
              <w:jc w:val="left"/>
              <w:rPr>
                <w:noProof/>
                <w:color w:val="000000"/>
                <w:sz w:val="20"/>
              </w:rPr>
            </w:pPr>
            <w:r>
              <w:rPr>
                <w:noProof/>
                <w:color w:val="000000"/>
                <w:sz w:val="20"/>
              </w:rPr>
              <w:t>COM(2016) 824</w:t>
            </w:r>
          </w:p>
        </w:tc>
        <w:tc>
          <w:tcPr>
            <w:tcW w:w="2662" w:type="dxa"/>
            <w:shd w:val="clear" w:color="auto" w:fill="auto"/>
          </w:tcPr>
          <w:p>
            <w:pPr>
              <w:spacing w:after="0"/>
              <w:jc w:val="left"/>
              <w:rPr>
                <w:noProof/>
                <w:color w:val="000000"/>
                <w:sz w:val="20"/>
              </w:rPr>
            </w:pPr>
            <w:r>
              <w:rPr>
                <w:noProof/>
                <w:color w:val="000000"/>
                <w:sz w:val="20"/>
              </w:rPr>
              <w:t>Priekšlikums Eiropas Parlamenta un Padomes direktīvai, ar ko</w:t>
            </w:r>
            <w:r>
              <w:rPr>
                <w:b/>
                <w:noProof/>
                <w:color w:val="000000"/>
                <w:sz w:val="20"/>
              </w:rPr>
              <w:t xml:space="preserve"> ievieš Eiropas pakalpojumu e-karti un saistīto administratīvo nodrošinājumu</w:t>
            </w:r>
          </w:p>
        </w:tc>
        <w:tc>
          <w:tcPr>
            <w:tcW w:w="1356" w:type="dxa"/>
            <w:shd w:val="clear" w:color="auto" w:fill="auto"/>
          </w:tcPr>
          <w:p>
            <w:pPr>
              <w:spacing w:after="0"/>
              <w:jc w:val="center"/>
              <w:rPr>
                <w:noProof/>
                <w:color w:val="000000"/>
                <w:sz w:val="20"/>
              </w:rPr>
            </w:pPr>
            <w:r>
              <w:rPr>
                <w:noProof/>
                <w:color w:val="000000"/>
                <w:sz w:val="20"/>
              </w:rPr>
              <w:t>2</w:t>
            </w:r>
          </w:p>
        </w:tc>
        <w:tc>
          <w:tcPr>
            <w:tcW w:w="1337" w:type="dxa"/>
            <w:shd w:val="clear" w:color="auto" w:fill="auto"/>
          </w:tcPr>
          <w:p>
            <w:pPr>
              <w:spacing w:after="0"/>
              <w:jc w:val="center"/>
              <w:rPr>
                <w:noProof/>
                <w:color w:val="000000"/>
                <w:sz w:val="20"/>
              </w:rPr>
            </w:pPr>
            <w:r>
              <w:rPr>
                <w:noProof/>
                <w:color w:val="000000"/>
                <w:sz w:val="20"/>
              </w:rPr>
              <w:t>2</w:t>
            </w:r>
          </w:p>
        </w:tc>
        <w:tc>
          <w:tcPr>
            <w:tcW w:w="284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balss) </w:t>
            </w:r>
          </w:p>
          <w:p>
            <w:pPr>
              <w:spacing w:after="0"/>
              <w:jc w:val="left"/>
              <w:rPr>
                <w:noProof/>
                <w:sz w:val="20"/>
              </w:rPr>
            </w:pPr>
          </w:p>
          <w:p>
            <w:pPr>
              <w:spacing w:after="0"/>
              <w:jc w:val="left"/>
              <w:rPr>
                <w:noProof/>
                <w:sz w:val="20"/>
              </w:rPr>
            </w:pPr>
            <w:r>
              <w:rPr>
                <w:noProof/>
                <w:sz w:val="20"/>
              </w:rPr>
              <w:t xml:space="preserve">AT </w:t>
            </w:r>
            <w:r>
              <w:rPr>
                <w:i/>
                <w:noProof/>
                <w:sz w:val="20"/>
              </w:rPr>
              <w:t>Bundesrat</w:t>
            </w:r>
            <w:r>
              <w:rPr>
                <w:noProof/>
                <w:sz w:val="20"/>
              </w:rPr>
              <w:t xml:space="preserve"> (1 balss)</w:t>
            </w:r>
          </w:p>
        </w:tc>
      </w:tr>
      <w:tr>
        <w:trPr>
          <w:cantSplit/>
        </w:trPr>
        <w:tc>
          <w:tcPr>
            <w:tcW w:w="414" w:type="dxa"/>
            <w:shd w:val="clear" w:color="auto" w:fill="auto"/>
          </w:tcPr>
          <w:p>
            <w:pPr>
              <w:spacing w:after="0"/>
              <w:jc w:val="left"/>
              <w:rPr>
                <w:noProof/>
                <w:sz w:val="20"/>
              </w:rPr>
            </w:pPr>
            <w:r>
              <w:rPr>
                <w:noProof/>
                <w:sz w:val="20"/>
              </w:rPr>
              <w:t>11</w:t>
            </w:r>
          </w:p>
        </w:tc>
        <w:tc>
          <w:tcPr>
            <w:tcW w:w="1977" w:type="dxa"/>
            <w:shd w:val="clear" w:color="auto" w:fill="auto"/>
          </w:tcPr>
          <w:p>
            <w:pPr>
              <w:spacing w:after="0"/>
              <w:jc w:val="left"/>
              <w:rPr>
                <w:noProof/>
                <w:color w:val="000000"/>
                <w:sz w:val="20"/>
              </w:rPr>
            </w:pPr>
            <w:r>
              <w:rPr>
                <w:noProof/>
                <w:color w:val="000000"/>
                <w:sz w:val="20"/>
              </w:rPr>
              <w:t>COM(2017) 647</w:t>
            </w:r>
          </w:p>
        </w:tc>
        <w:tc>
          <w:tcPr>
            <w:tcW w:w="2662" w:type="dxa"/>
            <w:shd w:val="clear" w:color="auto" w:fill="auto"/>
          </w:tcPr>
          <w:p>
            <w:pPr>
              <w:spacing w:after="0"/>
              <w:jc w:val="left"/>
              <w:rPr>
                <w:noProof/>
                <w:color w:val="000000"/>
                <w:sz w:val="20"/>
              </w:rPr>
            </w:pPr>
            <w:r>
              <w:rPr>
                <w:noProof/>
                <w:color w:val="000000"/>
                <w:sz w:val="20"/>
              </w:rPr>
              <w:t>Priekšlikums Eiropas Parlamenta un Padomes regulai, ar ko groza Regulu (EK) Nr. 1073/2009 par</w:t>
            </w:r>
            <w:r>
              <w:rPr>
                <w:b/>
                <w:noProof/>
                <w:color w:val="000000"/>
                <w:sz w:val="20"/>
              </w:rPr>
              <w:t xml:space="preserve"> kopīgiem noteikumiem attiecībā uz piekļuvi starptautiskajam autobusu pārvadājumu tirgum</w:t>
            </w:r>
          </w:p>
        </w:tc>
        <w:tc>
          <w:tcPr>
            <w:tcW w:w="1356" w:type="dxa"/>
            <w:shd w:val="clear" w:color="auto" w:fill="auto"/>
          </w:tcPr>
          <w:p>
            <w:pPr>
              <w:spacing w:after="0"/>
              <w:jc w:val="center"/>
              <w:rPr>
                <w:noProof/>
                <w:color w:val="000000"/>
                <w:sz w:val="20"/>
              </w:rPr>
            </w:pPr>
            <w:r>
              <w:rPr>
                <w:noProof/>
                <w:color w:val="000000"/>
                <w:sz w:val="20"/>
              </w:rPr>
              <w:t>2</w:t>
            </w:r>
          </w:p>
        </w:tc>
        <w:tc>
          <w:tcPr>
            <w:tcW w:w="1337" w:type="dxa"/>
            <w:shd w:val="clear" w:color="auto" w:fill="auto"/>
          </w:tcPr>
          <w:p>
            <w:pPr>
              <w:spacing w:after="0"/>
              <w:jc w:val="center"/>
              <w:rPr>
                <w:noProof/>
                <w:color w:val="000000"/>
                <w:sz w:val="20"/>
              </w:rPr>
            </w:pPr>
            <w:r>
              <w:rPr>
                <w:noProof/>
                <w:color w:val="000000"/>
                <w:sz w:val="20"/>
              </w:rPr>
              <w:t>4</w:t>
            </w:r>
          </w:p>
        </w:tc>
        <w:tc>
          <w:tcPr>
            <w:tcW w:w="2842" w:type="dxa"/>
            <w:tcBorders>
              <w:bottom w:val="single" w:sz="4" w:space="0" w:color="auto"/>
            </w:tcBorders>
            <w:shd w:val="clear" w:color="auto" w:fill="auto"/>
          </w:tcPr>
          <w:p>
            <w:pPr>
              <w:spacing w:after="0"/>
              <w:jc w:val="left"/>
              <w:rPr>
                <w:noProof/>
                <w:sz w:val="20"/>
                <w:lang w:val="es-ES"/>
              </w:rPr>
            </w:pPr>
            <w:r>
              <w:rPr>
                <w:noProof/>
                <w:sz w:val="20"/>
                <w:lang w:val="es-ES"/>
              </w:rPr>
              <w:t xml:space="preserve">ES </w:t>
            </w:r>
            <w:r>
              <w:rPr>
                <w:i/>
                <w:noProof/>
                <w:sz w:val="20"/>
                <w:lang w:val="es-ES"/>
              </w:rPr>
              <w:t>Cortes Generales</w:t>
            </w:r>
            <w:r>
              <w:rPr>
                <w:noProof/>
                <w:sz w:val="20"/>
                <w:lang w:val="es-ES"/>
              </w:rPr>
              <w:t xml:space="preserve"> (2 balsis) </w:t>
            </w:r>
          </w:p>
          <w:p>
            <w:pPr>
              <w:spacing w:after="0"/>
              <w:jc w:val="left"/>
              <w:rPr>
                <w:noProof/>
                <w:sz w:val="20"/>
                <w:lang w:val="es-ES"/>
              </w:rPr>
            </w:pPr>
          </w:p>
          <w:p>
            <w:pPr>
              <w:spacing w:after="0"/>
              <w:jc w:val="left"/>
              <w:rPr>
                <w:noProof/>
                <w:sz w:val="20"/>
                <w:lang w:val="es-ES"/>
              </w:rPr>
            </w:pPr>
            <w:r>
              <w:rPr>
                <w:noProof/>
                <w:sz w:val="20"/>
                <w:lang w:val="es-ES"/>
              </w:rPr>
              <w:t xml:space="preserve">IE </w:t>
            </w:r>
            <w:r>
              <w:rPr>
                <w:i/>
                <w:noProof/>
                <w:sz w:val="20"/>
                <w:lang w:val="es-ES"/>
              </w:rPr>
              <w:t>Oireachtas</w:t>
            </w:r>
            <w:r>
              <w:rPr>
                <w:noProof/>
                <w:sz w:val="20"/>
                <w:lang w:val="es-ES"/>
              </w:rPr>
              <w:t xml:space="preserve"> palātas (2 balsis)</w:t>
            </w:r>
          </w:p>
        </w:tc>
      </w:tr>
      <w:tr>
        <w:trPr>
          <w:cantSplit/>
        </w:trPr>
        <w:tc>
          <w:tcPr>
            <w:tcW w:w="414" w:type="dxa"/>
            <w:shd w:val="clear" w:color="auto" w:fill="auto"/>
          </w:tcPr>
          <w:p>
            <w:pPr>
              <w:spacing w:after="0"/>
              <w:jc w:val="left"/>
              <w:rPr>
                <w:noProof/>
                <w:sz w:val="20"/>
              </w:rPr>
            </w:pPr>
            <w:r>
              <w:rPr>
                <w:noProof/>
                <w:sz w:val="20"/>
              </w:rPr>
              <w:t>12</w:t>
            </w:r>
          </w:p>
        </w:tc>
        <w:tc>
          <w:tcPr>
            <w:tcW w:w="1977" w:type="dxa"/>
            <w:shd w:val="clear" w:color="auto" w:fill="auto"/>
          </w:tcPr>
          <w:p>
            <w:pPr>
              <w:spacing w:after="0"/>
              <w:jc w:val="left"/>
              <w:rPr>
                <w:noProof/>
                <w:color w:val="000000"/>
                <w:sz w:val="20"/>
              </w:rPr>
            </w:pPr>
            <w:r>
              <w:rPr>
                <w:noProof/>
                <w:color w:val="000000"/>
                <w:sz w:val="20"/>
              </w:rPr>
              <w:t>COM(2016) 815</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regulai, ar kuru groza Regulu (EK) Nr. 883/2004 par </w:t>
            </w:r>
            <w:r>
              <w:rPr>
                <w:b/>
                <w:noProof/>
                <w:color w:val="000000"/>
                <w:sz w:val="20"/>
              </w:rPr>
              <w:t>sociālās nodrošināšanas sistēmu koordinēšanu</w:t>
            </w:r>
            <w:r>
              <w:rPr>
                <w:noProof/>
                <w:color w:val="000000"/>
                <w:sz w:val="20"/>
              </w:rPr>
              <w:t xml:space="preserve"> un Regulu (EK) Nr. 987/2009, ar ko nosaka īstenošanas kārtību Regulai (EK) Nr. 883/2004 </w:t>
            </w:r>
          </w:p>
        </w:tc>
        <w:tc>
          <w:tcPr>
            <w:tcW w:w="1356" w:type="dxa"/>
            <w:shd w:val="clear" w:color="auto" w:fill="auto"/>
          </w:tcPr>
          <w:p>
            <w:pPr>
              <w:spacing w:after="0"/>
              <w:jc w:val="center"/>
              <w:rPr>
                <w:noProof/>
                <w:color w:val="000000"/>
                <w:sz w:val="20"/>
              </w:rPr>
            </w:pPr>
            <w:r>
              <w:rPr>
                <w:noProof/>
                <w:color w:val="000000"/>
                <w:sz w:val="20"/>
              </w:rPr>
              <w:t>1</w:t>
            </w:r>
          </w:p>
        </w:tc>
        <w:tc>
          <w:tcPr>
            <w:tcW w:w="1337" w:type="dxa"/>
            <w:shd w:val="clear" w:color="auto" w:fill="auto"/>
          </w:tcPr>
          <w:p>
            <w:pPr>
              <w:spacing w:after="0"/>
              <w:jc w:val="center"/>
              <w:rPr>
                <w:noProof/>
                <w:color w:val="000000"/>
                <w:sz w:val="20"/>
              </w:rPr>
            </w:pPr>
            <w:r>
              <w:rPr>
                <w:noProof/>
                <w:color w:val="000000"/>
                <w:sz w:val="20"/>
              </w:rPr>
              <w:t>1</w:t>
            </w:r>
          </w:p>
        </w:tc>
        <w:tc>
          <w:tcPr>
            <w:tcW w:w="2842" w:type="dxa"/>
            <w:shd w:val="clear" w:color="auto" w:fill="auto"/>
          </w:tcPr>
          <w:p>
            <w:pPr>
              <w:spacing w:after="0"/>
              <w:jc w:val="left"/>
              <w:rPr>
                <w:noProof/>
                <w:sz w:val="20"/>
              </w:rPr>
            </w:pPr>
            <w:r>
              <w:rPr>
                <w:noProof/>
                <w:sz w:val="20"/>
              </w:rPr>
              <w:t xml:space="preserve">FR </w:t>
            </w:r>
            <w:r>
              <w:rPr>
                <w:i/>
                <w:noProof/>
                <w:sz w:val="20"/>
              </w:rPr>
              <w:t>Sénat</w:t>
            </w:r>
            <w:r>
              <w:rPr>
                <w:noProof/>
                <w:sz w:val="20"/>
              </w:rPr>
              <w:t xml:space="preserve"> (1 balss)</w:t>
            </w:r>
          </w:p>
        </w:tc>
      </w:tr>
      <w:tr>
        <w:trPr>
          <w:cantSplit/>
        </w:trPr>
        <w:tc>
          <w:tcPr>
            <w:tcW w:w="414" w:type="dxa"/>
            <w:shd w:val="clear" w:color="auto" w:fill="auto"/>
          </w:tcPr>
          <w:p>
            <w:pPr>
              <w:spacing w:after="0"/>
              <w:jc w:val="left"/>
              <w:rPr>
                <w:noProof/>
                <w:sz w:val="20"/>
              </w:rPr>
            </w:pPr>
            <w:r>
              <w:rPr>
                <w:noProof/>
                <w:sz w:val="20"/>
              </w:rPr>
              <w:t>13</w:t>
            </w:r>
          </w:p>
        </w:tc>
        <w:tc>
          <w:tcPr>
            <w:tcW w:w="1977" w:type="dxa"/>
            <w:shd w:val="clear" w:color="auto" w:fill="auto"/>
          </w:tcPr>
          <w:p>
            <w:pPr>
              <w:spacing w:after="0"/>
              <w:jc w:val="left"/>
              <w:rPr>
                <w:noProof/>
                <w:color w:val="000000"/>
                <w:sz w:val="20"/>
              </w:rPr>
            </w:pPr>
            <w:r>
              <w:rPr>
                <w:noProof/>
                <w:color w:val="000000"/>
                <w:sz w:val="20"/>
              </w:rPr>
              <w:t>COM(2017) 275</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direktīvai, ar ko groza Direktīvu 1999/62/EK par </w:t>
            </w:r>
            <w:r>
              <w:rPr>
                <w:b/>
                <w:noProof/>
                <w:color w:val="000000"/>
                <w:sz w:val="20"/>
              </w:rPr>
              <w:t>dažu infrastruktūru lietošanas maksas noteikšanu smagajiem kravas transportlīdzekļiem</w:t>
            </w:r>
          </w:p>
        </w:tc>
        <w:tc>
          <w:tcPr>
            <w:tcW w:w="1356" w:type="dxa"/>
            <w:shd w:val="clear" w:color="auto" w:fill="auto"/>
          </w:tcPr>
          <w:p>
            <w:pPr>
              <w:spacing w:after="0"/>
              <w:jc w:val="center"/>
              <w:rPr>
                <w:noProof/>
                <w:sz w:val="20"/>
              </w:rPr>
            </w:pPr>
            <w:r>
              <w:rPr>
                <w:noProof/>
                <w:sz w:val="20"/>
              </w:rPr>
              <w:t>1</w:t>
            </w:r>
          </w:p>
        </w:tc>
        <w:tc>
          <w:tcPr>
            <w:tcW w:w="1337" w:type="dxa"/>
            <w:shd w:val="clear" w:color="auto" w:fill="auto"/>
          </w:tcPr>
          <w:p>
            <w:pPr>
              <w:spacing w:after="0"/>
              <w:jc w:val="center"/>
              <w:rPr>
                <w:noProof/>
                <w:sz w:val="20"/>
              </w:rPr>
            </w:pPr>
            <w:r>
              <w:rPr>
                <w:noProof/>
                <w:sz w:val="20"/>
              </w:rPr>
              <w:t>1</w:t>
            </w:r>
          </w:p>
        </w:tc>
        <w:tc>
          <w:tcPr>
            <w:tcW w:w="2842" w:type="dxa"/>
            <w:shd w:val="clear" w:color="auto" w:fill="auto"/>
          </w:tcPr>
          <w:p>
            <w:pPr>
              <w:spacing w:after="0"/>
              <w:jc w:val="left"/>
              <w:rPr>
                <w:noProof/>
                <w:sz w:val="20"/>
              </w:rPr>
            </w:pPr>
            <w:r>
              <w:rPr>
                <w:noProof/>
                <w:sz w:val="20"/>
              </w:rPr>
              <w:t xml:space="preserve">AT </w:t>
            </w:r>
            <w:r>
              <w:rPr>
                <w:i/>
                <w:noProof/>
                <w:sz w:val="20"/>
              </w:rPr>
              <w:t>Bundesrat</w:t>
            </w:r>
            <w:r>
              <w:rPr>
                <w:noProof/>
                <w:sz w:val="20"/>
              </w:rPr>
              <w:t xml:space="preserve"> (1 balss) </w:t>
            </w:r>
          </w:p>
        </w:tc>
      </w:tr>
      <w:tr>
        <w:trPr>
          <w:cantSplit/>
        </w:trPr>
        <w:tc>
          <w:tcPr>
            <w:tcW w:w="414" w:type="dxa"/>
            <w:shd w:val="clear" w:color="auto" w:fill="auto"/>
          </w:tcPr>
          <w:p>
            <w:pPr>
              <w:spacing w:after="0"/>
              <w:jc w:val="left"/>
              <w:rPr>
                <w:noProof/>
                <w:sz w:val="20"/>
              </w:rPr>
            </w:pPr>
            <w:r>
              <w:rPr>
                <w:noProof/>
                <w:sz w:val="20"/>
              </w:rPr>
              <w:t>14</w:t>
            </w:r>
          </w:p>
        </w:tc>
        <w:tc>
          <w:tcPr>
            <w:tcW w:w="1977" w:type="dxa"/>
            <w:shd w:val="clear" w:color="auto" w:fill="auto"/>
          </w:tcPr>
          <w:p>
            <w:pPr>
              <w:spacing w:after="0"/>
              <w:jc w:val="left"/>
              <w:rPr>
                <w:noProof/>
                <w:color w:val="000000"/>
                <w:sz w:val="20"/>
              </w:rPr>
            </w:pPr>
            <w:r>
              <w:rPr>
                <w:noProof/>
                <w:color w:val="000000"/>
                <w:sz w:val="20"/>
              </w:rPr>
              <w:t>COM(2017) 278</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direktīvai, ar ko attiecībā uz </w:t>
            </w:r>
            <w:r>
              <w:rPr>
                <w:b/>
                <w:noProof/>
                <w:color w:val="000000"/>
                <w:sz w:val="20"/>
              </w:rPr>
              <w:t>izpildes nodrošināšanas prasībām</w:t>
            </w:r>
            <w:r>
              <w:rPr>
                <w:noProof/>
                <w:color w:val="000000"/>
                <w:sz w:val="20"/>
              </w:rPr>
              <w:t xml:space="preserve"> groza Direktīvu 2006/22/EK un attiecībā uz Direktīvu 96/71/EK un Direktīvu 2014/67/ES nosaka īpašus noteikumus </w:t>
            </w:r>
            <w:r>
              <w:rPr>
                <w:b/>
                <w:noProof/>
                <w:color w:val="000000"/>
                <w:sz w:val="20"/>
              </w:rPr>
              <w:t>autotransporta nozarē strādājošo transportlīdzekļu vadītāju norīkošanai darbā</w:t>
            </w:r>
          </w:p>
        </w:tc>
        <w:tc>
          <w:tcPr>
            <w:tcW w:w="1356" w:type="dxa"/>
            <w:shd w:val="clear" w:color="auto" w:fill="auto"/>
          </w:tcPr>
          <w:p>
            <w:pPr>
              <w:spacing w:after="0"/>
              <w:jc w:val="center"/>
              <w:rPr>
                <w:noProof/>
                <w:sz w:val="20"/>
              </w:rPr>
            </w:pPr>
            <w:r>
              <w:rPr>
                <w:noProof/>
                <w:sz w:val="20"/>
              </w:rPr>
              <w:t>1</w:t>
            </w:r>
          </w:p>
        </w:tc>
        <w:tc>
          <w:tcPr>
            <w:tcW w:w="1337" w:type="dxa"/>
            <w:shd w:val="clear" w:color="auto" w:fill="auto"/>
          </w:tcPr>
          <w:p>
            <w:pPr>
              <w:spacing w:after="0"/>
              <w:jc w:val="center"/>
              <w:rPr>
                <w:noProof/>
                <w:sz w:val="20"/>
              </w:rPr>
            </w:pPr>
            <w:r>
              <w:rPr>
                <w:noProof/>
                <w:sz w:val="20"/>
              </w:rPr>
              <w:t>1</w:t>
            </w:r>
          </w:p>
        </w:tc>
        <w:tc>
          <w:tcPr>
            <w:tcW w:w="2842" w:type="dxa"/>
            <w:shd w:val="clear" w:color="auto" w:fill="auto"/>
          </w:tcPr>
          <w:p>
            <w:pPr>
              <w:spacing w:after="0"/>
              <w:jc w:val="left"/>
              <w:rPr>
                <w:noProof/>
                <w:sz w:val="20"/>
              </w:rPr>
            </w:pPr>
            <w:r>
              <w:rPr>
                <w:noProof/>
                <w:sz w:val="20"/>
              </w:rPr>
              <w:t xml:space="preserve">PL </w:t>
            </w:r>
            <w:r>
              <w:rPr>
                <w:i/>
                <w:noProof/>
                <w:sz w:val="20"/>
              </w:rPr>
              <w:t>Senat</w:t>
            </w:r>
            <w:r>
              <w:rPr>
                <w:noProof/>
                <w:sz w:val="20"/>
              </w:rPr>
              <w:t xml:space="preserve"> (1 balss) </w:t>
            </w:r>
          </w:p>
        </w:tc>
      </w:tr>
      <w:tr>
        <w:trPr>
          <w:cantSplit/>
        </w:trPr>
        <w:tc>
          <w:tcPr>
            <w:tcW w:w="414" w:type="dxa"/>
            <w:shd w:val="clear" w:color="auto" w:fill="auto"/>
          </w:tcPr>
          <w:p>
            <w:pPr>
              <w:spacing w:after="0"/>
              <w:jc w:val="left"/>
              <w:rPr>
                <w:noProof/>
                <w:sz w:val="20"/>
              </w:rPr>
            </w:pPr>
            <w:r>
              <w:rPr>
                <w:noProof/>
                <w:sz w:val="20"/>
              </w:rPr>
              <w:t>15</w:t>
            </w:r>
          </w:p>
        </w:tc>
        <w:tc>
          <w:tcPr>
            <w:tcW w:w="1977" w:type="dxa"/>
            <w:shd w:val="clear" w:color="auto" w:fill="auto"/>
          </w:tcPr>
          <w:p>
            <w:pPr>
              <w:spacing w:after="0"/>
              <w:jc w:val="left"/>
              <w:rPr>
                <w:noProof/>
                <w:color w:val="000000"/>
                <w:sz w:val="20"/>
              </w:rPr>
            </w:pPr>
            <w:r>
              <w:rPr>
                <w:noProof/>
                <w:color w:val="000000"/>
                <w:sz w:val="20"/>
              </w:rPr>
              <w:t>COM(2016) 750</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regulai par </w:t>
            </w:r>
            <w:r>
              <w:rPr>
                <w:b/>
                <w:noProof/>
                <w:color w:val="000000"/>
                <w:sz w:val="20"/>
              </w:rPr>
              <w:t>stipro alkoholisko dzērienu definīciju, noformēšanu un marķēšanu, stipro alkoholisko dzērienu nosaukumu lietošanu citu pārtikas produktu noformējumā un marķējumā un par stipro alkoholisko dzērienu ģeogrāfiskās izcelsmes norāžu aizsardzību</w:t>
            </w:r>
          </w:p>
        </w:tc>
        <w:tc>
          <w:tcPr>
            <w:tcW w:w="1356" w:type="dxa"/>
            <w:shd w:val="clear" w:color="auto" w:fill="auto"/>
          </w:tcPr>
          <w:p>
            <w:pPr>
              <w:spacing w:after="0"/>
              <w:jc w:val="center"/>
              <w:rPr>
                <w:noProof/>
                <w:sz w:val="20"/>
              </w:rPr>
            </w:pPr>
            <w:r>
              <w:rPr>
                <w:noProof/>
                <w:sz w:val="20"/>
              </w:rPr>
              <w:t>1</w:t>
            </w:r>
          </w:p>
        </w:tc>
        <w:tc>
          <w:tcPr>
            <w:tcW w:w="1337" w:type="dxa"/>
            <w:shd w:val="clear" w:color="auto" w:fill="auto"/>
          </w:tcPr>
          <w:p>
            <w:pPr>
              <w:spacing w:after="0"/>
              <w:jc w:val="center"/>
              <w:rPr>
                <w:noProof/>
                <w:sz w:val="20"/>
              </w:rPr>
            </w:pPr>
            <w:r>
              <w:rPr>
                <w:noProof/>
                <w:sz w:val="20"/>
              </w:rPr>
              <w:t>1</w:t>
            </w:r>
          </w:p>
        </w:tc>
        <w:tc>
          <w:tcPr>
            <w:tcW w:w="2842" w:type="dxa"/>
            <w:tcBorders>
              <w:bottom w:val="single" w:sz="4" w:space="0" w:color="auto"/>
            </w:tcBorders>
            <w:shd w:val="clear" w:color="auto" w:fill="auto"/>
          </w:tcPr>
          <w:p>
            <w:pPr>
              <w:spacing w:after="0"/>
              <w:jc w:val="left"/>
              <w:rPr>
                <w:noProof/>
                <w:sz w:val="20"/>
                <w:lang w:val="it-IT"/>
              </w:rPr>
            </w:pPr>
            <w:r>
              <w:rPr>
                <w:noProof/>
                <w:sz w:val="20"/>
                <w:lang w:val="it-IT"/>
              </w:rPr>
              <w:t xml:space="preserve">IT </w:t>
            </w:r>
            <w:r>
              <w:rPr>
                <w:i/>
                <w:iCs/>
                <w:noProof/>
                <w:color w:val="000000"/>
                <w:sz w:val="20"/>
                <w:lang w:val="it-IT"/>
              </w:rPr>
              <w:t>Senato della Repubblica</w:t>
            </w:r>
            <w:r>
              <w:rPr>
                <w:i/>
                <w:iCs/>
                <w:noProof/>
                <w:color w:val="000000"/>
                <w:sz w:val="20"/>
                <w:lang w:val="it-IT"/>
              </w:rPr>
              <w:br/>
            </w:r>
            <w:r>
              <w:rPr>
                <w:noProof/>
                <w:sz w:val="20"/>
                <w:lang w:val="it-IT"/>
              </w:rPr>
              <w:t xml:space="preserve">(1 balss) </w:t>
            </w:r>
          </w:p>
        </w:tc>
      </w:tr>
      <w:tr>
        <w:trPr>
          <w:cantSplit/>
        </w:trPr>
        <w:tc>
          <w:tcPr>
            <w:tcW w:w="414" w:type="dxa"/>
            <w:shd w:val="clear" w:color="auto" w:fill="auto"/>
          </w:tcPr>
          <w:p>
            <w:pPr>
              <w:spacing w:after="0"/>
              <w:jc w:val="left"/>
              <w:rPr>
                <w:noProof/>
                <w:sz w:val="20"/>
              </w:rPr>
            </w:pPr>
            <w:r>
              <w:rPr>
                <w:noProof/>
                <w:sz w:val="20"/>
              </w:rPr>
              <w:t>16</w:t>
            </w:r>
          </w:p>
        </w:tc>
        <w:tc>
          <w:tcPr>
            <w:tcW w:w="1977" w:type="dxa"/>
            <w:shd w:val="clear" w:color="auto" w:fill="auto"/>
          </w:tcPr>
          <w:p>
            <w:pPr>
              <w:spacing w:after="0"/>
              <w:jc w:val="left"/>
              <w:rPr>
                <w:noProof/>
                <w:color w:val="000000"/>
                <w:sz w:val="20"/>
              </w:rPr>
            </w:pPr>
            <w:r>
              <w:rPr>
                <w:noProof/>
                <w:color w:val="000000"/>
                <w:sz w:val="20"/>
              </w:rPr>
              <w:t>COM(2017) 477</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regulai par </w:t>
            </w:r>
            <w:r>
              <w:rPr>
                <w:i/>
                <w:noProof/>
                <w:color w:val="000000"/>
                <w:sz w:val="20"/>
              </w:rPr>
              <w:t>ENISA —</w:t>
            </w:r>
            <w:r>
              <w:rPr>
                <w:noProof/>
                <w:color w:val="000000"/>
                <w:sz w:val="20"/>
              </w:rPr>
              <w:t xml:space="preserve"> </w:t>
            </w:r>
            <w:r>
              <w:rPr>
                <w:b/>
                <w:noProof/>
                <w:color w:val="000000"/>
                <w:sz w:val="20"/>
              </w:rPr>
              <w:t>ES Kiberdrošības aģentūru —</w:t>
            </w:r>
            <w:r>
              <w:rPr>
                <w:noProof/>
                <w:color w:val="000000"/>
                <w:sz w:val="20"/>
              </w:rPr>
              <w:t xml:space="preserve"> un Regulas (ES) 526/2013 atcelšanu un par informācijas un komunikācijas tehnoloģiju kiberdrošības sertifikāciju (</w:t>
            </w:r>
            <w:r>
              <w:rPr>
                <w:b/>
                <w:noProof/>
                <w:color w:val="000000"/>
                <w:sz w:val="20"/>
              </w:rPr>
              <w:t>“Kiberdrošības akts”</w:t>
            </w:r>
            <w:r>
              <w:rPr>
                <w:noProof/>
                <w:color w:val="000000"/>
                <w:sz w:val="20"/>
              </w:rPr>
              <w:t>)</w:t>
            </w:r>
          </w:p>
        </w:tc>
        <w:tc>
          <w:tcPr>
            <w:tcW w:w="1356" w:type="dxa"/>
            <w:shd w:val="clear" w:color="auto" w:fill="auto"/>
          </w:tcPr>
          <w:p>
            <w:pPr>
              <w:spacing w:after="0"/>
              <w:jc w:val="center"/>
              <w:rPr>
                <w:noProof/>
                <w:color w:val="000000"/>
                <w:sz w:val="20"/>
              </w:rPr>
            </w:pPr>
            <w:r>
              <w:rPr>
                <w:noProof/>
                <w:color w:val="000000"/>
                <w:sz w:val="20"/>
              </w:rPr>
              <w:t>1</w:t>
            </w:r>
          </w:p>
        </w:tc>
        <w:tc>
          <w:tcPr>
            <w:tcW w:w="1337" w:type="dxa"/>
            <w:shd w:val="clear" w:color="auto" w:fill="auto"/>
          </w:tcPr>
          <w:p>
            <w:pPr>
              <w:spacing w:after="0"/>
              <w:jc w:val="center"/>
              <w:rPr>
                <w:noProof/>
                <w:color w:val="000000"/>
                <w:sz w:val="20"/>
              </w:rPr>
            </w:pPr>
            <w:r>
              <w:rPr>
                <w:noProof/>
                <w:color w:val="000000"/>
                <w:sz w:val="20"/>
              </w:rPr>
              <w:t>1</w:t>
            </w:r>
          </w:p>
        </w:tc>
        <w:tc>
          <w:tcPr>
            <w:tcW w:w="2842" w:type="dxa"/>
            <w:tcBorders>
              <w:bottom w:val="single" w:sz="4" w:space="0" w:color="auto"/>
            </w:tcBorders>
            <w:shd w:val="clear" w:color="auto" w:fill="auto"/>
          </w:tcPr>
          <w:p>
            <w:pPr>
              <w:spacing w:after="0"/>
              <w:jc w:val="left"/>
              <w:rPr>
                <w:noProof/>
                <w:sz w:val="20"/>
              </w:rPr>
            </w:pPr>
            <w:r>
              <w:rPr>
                <w:noProof/>
                <w:sz w:val="20"/>
              </w:rPr>
              <w:t xml:space="preserve">FR </w:t>
            </w:r>
            <w:r>
              <w:rPr>
                <w:i/>
                <w:noProof/>
                <w:sz w:val="20"/>
              </w:rPr>
              <w:t>Sénat</w:t>
            </w:r>
            <w:r>
              <w:rPr>
                <w:noProof/>
                <w:sz w:val="20"/>
              </w:rPr>
              <w:t xml:space="preserve"> (1 balss) </w:t>
            </w:r>
          </w:p>
        </w:tc>
      </w:tr>
      <w:tr>
        <w:trPr>
          <w:cantSplit/>
        </w:trPr>
        <w:tc>
          <w:tcPr>
            <w:tcW w:w="414" w:type="dxa"/>
            <w:shd w:val="clear" w:color="auto" w:fill="auto"/>
          </w:tcPr>
          <w:p>
            <w:pPr>
              <w:spacing w:after="0"/>
              <w:jc w:val="left"/>
              <w:rPr>
                <w:noProof/>
                <w:sz w:val="20"/>
              </w:rPr>
            </w:pPr>
            <w:r>
              <w:rPr>
                <w:noProof/>
                <w:sz w:val="20"/>
              </w:rPr>
              <w:t>17</w:t>
            </w:r>
          </w:p>
        </w:tc>
        <w:tc>
          <w:tcPr>
            <w:tcW w:w="1977" w:type="dxa"/>
            <w:shd w:val="clear" w:color="auto" w:fill="auto"/>
          </w:tcPr>
          <w:p>
            <w:pPr>
              <w:spacing w:after="0"/>
              <w:jc w:val="left"/>
              <w:rPr>
                <w:noProof/>
                <w:color w:val="000000"/>
                <w:sz w:val="20"/>
              </w:rPr>
            </w:pPr>
            <w:r>
              <w:rPr>
                <w:noProof/>
                <w:color w:val="000000"/>
                <w:sz w:val="20"/>
              </w:rPr>
              <w:t>COM(2017) 495</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regulai par </w:t>
            </w:r>
            <w:r>
              <w:rPr>
                <w:b/>
                <w:noProof/>
                <w:color w:val="000000"/>
                <w:sz w:val="20"/>
              </w:rPr>
              <w:t>satvaru nepersonizētu datu brīvai apritei Eiropas Savienībā</w:t>
            </w:r>
          </w:p>
        </w:tc>
        <w:tc>
          <w:tcPr>
            <w:tcW w:w="1356" w:type="dxa"/>
            <w:shd w:val="clear" w:color="auto" w:fill="auto"/>
          </w:tcPr>
          <w:p>
            <w:pPr>
              <w:spacing w:after="0"/>
              <w:jc w:val="center"/>
              <w:rPr>
                <w:noProof/>
                <w:color w:val="000000"/>
                <w:sz w:val="20"/>
              </w:rPr>
            </w:pPr>
            <w:r>
              <w:rPr>
                <w:noProof/>
                <w:color w:val="000000"/>
                <w:sz w:val="20"/>
              </w:rPr>
              <w:t>1</w:t>
            </w:r>
          </w:p>
        </w:tc>
        <w:tc>
          <w:tcPr>
            <w:tcW w:w="1337" w:type="dxa"/>
            <w:shd w:val="clear" w:color="auto" w:fill="auto"/>
          </w:tcPr>
          <w:p>
            <w:pPr>
              <w:spacing w:after="0"/>
              <w:jc w:val="center"/>
              <w:rPr>
                <w:noProof/>
                <w:color w:val="000000"/>
                <w:sz w:val="20"/>
              </w:rPr>
            </w:pPr>
            <w:r>
              <w:rPr>
                <w:noProof/>
                <w:color w:val="000000"/>
                <w:sz w:val="20"/>
              </w:rPr>
              <w:t>1</w:t>
            </w:r>
          </w:p>
        </w:tc>
        <w:tc>
          <w:tcPr>
            <w:tcW w:w="2842" w:type="dxa"/>
            <w:tcBorders>
              <w:bottom w:val="single" w:sz="4" w:space="0" w:color="auto"/>
            </w:tcBorders>
            <w:shd w:val="clear" w:color="auto" w:fill="auto"/>
          </w:tcPr>
          <w:p>
            <w:pPr>
              <w:spacing w:after="0"/>
              <w:jc w:val="left"/>
              <w:rPr>
                <w:noProof/>
                <w:sz w:val="20"/>
              </w:rPr>
            </w:pPr>
            <w:r>
              <w:rPr>
                <w:noProof/>
                <w:sz w:val="20"/>
              </w:rPr>
              <w:t xml:space="preserve">FR </w:t>
            </w:r>
            <w:r>
              <w:rPr>
                <w:i/>
                <w:noProof/>
                <w:sz w:val="20"/>
              </w:rPr>
              <w:t>Sénat</w:t>
            </w:r>
            <w:r>
              <w:rPr>
                <w:noProof/>
                <w:sz w:val="20"/>
              </w:rPr>
              <w:t xml:space="preserve"> (1 balss) </w:t>
            </w:r>
          </w:p>
        </w:tc>
      </w:tr>
      <w:tr>
        <w:trPr>
          <w:cantSplit/>
        </w:trPr>
        <w:tc>
          <w:tcPr>
            <w:tcW w:w="414" w:type="dxa"/>
            <w:shd w:val="clear" w:color="auto" w:fill="auto"/>
          </w:tcPr>
          <w:p>
            <w:pPr>
              <w:spacing w:after="0"/>
              <w:jc w:val="left"/>
              <w:rPr>
                <w:noProof/>
                <w:sz w:val="20"/>
              </w:rPr>
            </w:pPr>
            <w:r>
              <w:rPr>
                <w:noProof/>
                <w:sz w:val="20"/>
              </w:rPr>
              <w:t>18</w:t>
            </w:r>
          </w:p>
        </w:tc>
        <w:tc>
          <w:tcPr>
            <w:tcW w:w="1977" w:type="dxa"/>
            <w:shd w:val="clear" w:color="auto" w:fill="auto"/>
          </w:tcPr>
          <w:p>
            <w:pPr>
              <w:spacing w:after="0"/>
              <w:jc w:val="left"/>
              <w:rPr>
                <w:noProof/>
                <w:color w:val="000000"/>
                <w:sz w:val="20"/>
              </w:rPr>
            </w:pPr>
            <w:r>
              <w:rPr>
                <w:noProof/>
                <w:color w:val="000000"/>
                <w:sz w:val="20"/>
              </w:rPr>
              <w:t>COM(2016) 850</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regulai, ar ko groza Regulu (ES) Nr. 575/2013 attiecībā uz </w:t>
            </w:r>
            <w:r>
              <w:rPr>
                <w:b/>
                <w:noProof/>
                <w:color w:val="000000"/>
                <w:sz w:val="20"/>
              </w:rPr>
              <w:t>sviras rādītāju, neto stabila finansējuma rādītāju, prasībām pašu kapitālam un atbilstīgajām saistībām, darījuma partnera kredītrisku, tirgus risku, riska darījumiem ar centrālajiem darījumu partneriem, riska darījumiem ar kolektīvo ieguldījumu uzņēmumiem, lieliem riska darījumiem, ziņošanas un informācijas atklāšanas prasībām</w:t>
            </w:r>
            <w:r>
              <w:rPr>
                <w:noProof/>
                <w:color w:val="000000"/>
                <w:sz w:val="20"/>
              </w:rPr>
              <w:t xml:space="preserve"> un ar ko groza Regulu (ES) Nr. 648/2012 </w:t>
            </w:r>
          </w:p>
        </w:tc>
        <w:tc>
          <w:tcPr>
            <w:tcW w:w="1356" w:type="dxa"/>
            <w:shd w:val="clear" w:color="auto" w:fill="auto"/>
          </w:tcPr>
          <w:p>
            <w:pPr>
              <w:spacing w:after="0"/>
              <w:jc w:val="center"/>
              <w:rPr>
                <w:noProof/>
                <w:color w:val="000000"/>
                <w:sz w:val="20"/>
              </w:rPr>
            </w:pPr>
            <w:r>
              <w:rPr>
                <w:noProof/>
                <w:color w:val="000000"/>
                <w:sz w:val="20"/>
              </w:rPr>
              <w:t>1</w:t>
            </w:r>
          </w:p>
        </w:tc>
        <w:tc>
          <w:tcPr>
            <w:tcW w:w="1337" w:type="dxa"/>
            <w:shd w:val="clear" w:color="auto" w:fill="auto"/>
          </w:tcPr>
          <w:p>
            <w:pPr>
              <w:spacing w:after="0"/>
              <w:jc w:val="center"/>
              <w:rPr>
                <w:noProof/>
                <w:color w:val="000000"/>
                <w:sz w:val="20"/>
              </w:rPr>
            </w:pPr>
            <w:r>
              <w:rPr>
                <w:noProof/>
                <w:color w:val="000000"/>
                <w:sz w:val="20"/>
              </w:rPr>
              <w:t>2</w:t>
            </w:r>
          </w:p>
        </w:tc>
        <w:tc>
          <w:tcPr>
            <w:tcW w:w="2842" w:type="dxa"/>
            <w:tcBorders>
              <w:bottom w:val="single" w:sz="4" w:space="0" w:color="auto"/>
            </w:tcBorders>
            <w:shd w:val="clear" w:color="auto" w:fill="auto"/>
          </w:tcPr>
          <w:p>
            <w:pPr>
              <w:spacing w:after="0"/>
              <w:jc w:val="left"/>
              <w:rPr>
                <w:noProof/>
                <w:sz w:val="20"/>
              </w:rPr>
            </w:pPr>
            <w:r>
              <w:rPr>
                <w:noProof/>
                <w:sz w:val="20"/>
              </w:rPr>
              <w:t xml:space="preserve">SE </w:t>
            </w:r>
            <w:r>
              <w:rPr>
                <w:i/>
                <w:iCs/>
                <w:noProof/>
                <w:color w:val="000000"/>
                <w:sz w:val="20"/>
              </w:rPr>
              <w:t xml:space="preserve">Riksdag </w:t>
            </w:r>
            <w:r>
              <w:rPr>
                <w:noProof/>
                <w:sz w:val="20"/>
              </w:rPr>
              <w:t xml:space="preserve">(2 balsis) </w:t>
            </w:r>
          </w:p>
        </w:tc>
      </w:tr>
      <w:tr>
        <w:trPr>
          <w:cantSplit/>
        </w:trPr>
        <w:tc>
          <w:tcPr>
            <w:tcW w:w="414" w:type="dxa"/>
            <w:shd w:val="clear" w:color="auto" w:fill="auto"/>
          </w:tcPr>
          <w:p>
            <w:pPr>
              <w:spacing w:after="0"/>
              <w:jc w:val="left"/>
              <w:rPr>
                <w:noProof/>
                <w:sz w:val="20"/>
              </w:rPr>
            </w:pPr>
            <w:r>
              <w:rPr>
                <w:noProof/>
                <w:sz w:val="20"/>
              </w:rPr>
              <w:t>19</w:t>
            </w:r>
          </w:p>
        </w:tc>
        <w:tc>
          <w:tcPr>
            <w:tcW w:w="1977" w:type="dxa"/>
            <w:shd w:val="clear" w:color="auto" w:fill="auto"/>
          </w:tcPr>
          <w:p>
            <w:pPr>
              <w:spacing w:after="0"/>
              <w:jc w:val="left"/>
              <w:rPr>
                <w:noProof/>
                <w:color w:val="000000"/>
                <w:sz w:val="20"/>
              </w:rPr>
            </w:pPr>
            <w:r>
              <w:rPr>
                <w:noProof/>
                <w:color w:val="000000"/>
                <w:sz w:val="20"/>
              </w:rPr>
              <w:t>COM(2016) 854</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direktīvai, ar ko groza Direktīvu 2013/36/ES attiecībā uz </w:t>
            </w:r>
            <w:r>
              <w:rPr>
                <w:b/>
                <w:noProof/>
                <w:color w:val="000000"/>
                <w:sz w:val="20"/>
              </w:rPr>
              <w:t>atbrīvotajām sabiedrībām, finanšu pārvaldītājsabiedrībām, jauktām finanšu pārvaldītājsabiedrībām, atalgojumu, uzraudzības pasākumiem un pilnvarām, kā arī kapitāla saglabāšanas pasākumiem</w:t>
            </w:r>
            <w:r>
              <w:rPr>
                <w:noProof/>
                <w:color w:val="000000"/>
                <w:sz w:val="20"/>
              </w:rPr>
              <w:t xml:space="preserve"> </w:t>
            </w:r>
          </w:p>
        </w:tc>
        <w:tc>
          <w:tcPr>
            <w:tcW w:w="1356" w:type="dxa"/>
            <w:shd w:val="clear" w:color="auto" w:fill="auto"/>
          </w:tcPr>
          <w:p>
            <w:pPr>
              <w:spacing w:after="0"/>
              <w:jc w:val="center"/>
              <w:rPr>
                <w:noProof/>
                <w:color w:val="000000"/>
                <w:sz w:val="20"/>
              </w:rPr>
            </w:pPr>
            <w:r>
              <w:rPr>
                <w:noProof/>
                <w:color w:val="000000"/>
                <w:sz w:val="20"/>
              </w:rPr>
              <w:t>1</w:t>
            </w:r>
          </w:p>
        </w:tc>
        <w:tc>
          <w:tcPr>
            <w:tcW w:w="1337" w:type="dxa"/>
            <w:shd w:val="clear" w:color="auto" w:fill="auto"/>
          </w:tcPr>
          <w:p>
            <w:pPr>
              <w:spacing w:after="0"/>
              <w:jc w:val="center"/>
              <w:rPr>
                <w:noProof/>
                <w:color w:val="000000"/>
                <w:sz w:val="20"/>
              </w:rPr>
            </w:pPr>
            <w:r>
              <w:rPr>
                <w:noProof/>
                <w:color w:val="000000"/>
                <w:sz w:val="20"/>
              </w:rPr>
              <w:t>2</w:t>
            </w:r>
          </w:p>
        </w:tc>
        <w:tc>
          <w:tcPr>
            <w:tcW w:w="2842" w:type="dxa"/>
            <w:shd w:val="clear" w:color="auto" w:fill="auto"/>
          </w:tcPr>
          <w:p>
            <w:pPr>
              <w:spacing w:after="0"/>
              <w:jc w:val="left"/>
              <w:rPr>
                <w:noProof/>
                <w:sz w:val="20"/>
              </w:rPr>
            </w:pPr>
            <w:r>
              <w:rPr>
                <w:noProof/>
                <w:sz w:val="20"/>
              </w:rPr>
              <w:t xml:space="preserve">SE </w:t>
            </w:r>
            <w:r>
              <w:rPr>
                <w:i/>
                <w:iCs/>
                <w:noProof/>
                <w:color w:val="000000"/>
                <w:sz w:val="20"/>
              </w:rPr>
              <w:t>Riksdag</w:t>
            </w:r>
            <w:r>
              <w:rPr>
                <w:iCs/>
                <w:noProof/>
                <w:color w:val="000000"/>
                <w:sz w:val="20"/>
              </w:rPr>
              <w:t xml:space="preserve"> </w:t>
            </w:r>
            <w:r>
              <w:rPr>
                <w:noProof/>
                <w:sz w:val="20"/>
              </w:rPr>
              <w:t xml:space="preserve">(2 balsis) </w:t>
            </w:r>
          </w:p>
        </w:tc>
      </w:tr>
      <w:tr>
        <w:trPr>
          <w:cantSplit/>
        </w:trPr>
        <w:tc>
          <w:tcPr>
            <w:tcW w:w="414" w:type="dxa"/>
            <w:shd w:val="clear" w:color="auto" w:fill="auto"/>
          </w:tcPr>
          <w:p>
            <w:pPr>
              <w:spacing w:after="0"/>
              <w:jc w:val="left"/>
              <w:rPr>
                <w:noProof/>
                <w:sz w:val="20"/>
              </w:rPr>
            </w:pPr>
            <w:r>
              <w:rPr>
                <w:noProof/>
                <w:sz w:val="20"/>
              </w:rPr>
              <w:t>20</w:t>
            </w:r>
          </w:p>
        </w:tc>
        <w:tc>
          <w:tcPr>
            <w:tcW w:w="1977" w:type="dxa"/>
            <w:shd w:val="clear" w:color="auto" w:fill="auto"/>
          </w:tcPr>
          <w:p>
            <w:pPr>
              <w:spacing w:after="0"/>
              <w:jc w:val="left"/>
              <w:rPr>
                <w:noProof/>
                <w:color w:val="000000"/>
                <w:sz w:val="20"/>
              </w:rPr>
            </w:pPr>
            <w:r>
              <w:rPr>
                <w:noProof/>
                <w:color w:val="000000"/>
                <w:sz w:val="20"/>
              </w:rPr>
              <w:t>COM(2017) 331</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regulai, ar kuru Regulu (ES) Nr. 1095/2010, ar ko izveido Eiropas Uzraudzības iestādi (Eiropas Vērtspapīru un tirgu iestādi), un Regulu (ES) Nr. 648/2012 groza attiecībā uz CCP </w:t>
            </w:r>
            <w:r>
              <w:rPr>
                <w:b/>
                <w:noProof/>
                <w:color w:val="000000"/>
                <w:sz w:val="20"/>
              </w:rPr>
              <w:t xml:space="preserve">atļauju piešķiršanā iesaistītajām procedūrām un iestādēm un trešo valstu CCP atzīšanas prasībām </w:t>
            </w:r>
          </w:p>
        </w:tc>
        <w:tc>
          <w:tcPr>
            <w:tcW w:w="1356" w:type="dxa"/>
            <w:shd w:val="clear" w:color="auto" w:fill="auto"/>
          </w:tcPr>
          <w:p>
            <w:pPr>
              <w:spacing w:after="0"/>
              <w:jc w:val="center"/>
              <w:rPr>
                <w:noProof/>
                <w:sz w:val="20"/>
              </w:rPr>
            </w:pPr>
            <w:r>
              <w:rPr>
                <w:noProof/>
                <w:sz w:val="20"/>
              </w:rPr>
              <w:t>1</w:t>
            </w:r>
          </w:p>
        </w:tc>
        <w:tc>
          <w:tcPr>
            <w:tcW w:w="1337" w:type="dxa"/>
            <w:shd w:val="clear" w:color="auto" w:fill="auto"/>
          </w:tcPr>
          <w:p>
            <w:pPr>
              <w:spacing w:after="0"/>
              <w:jc w:val="center"/>
              <w:rPr>
                <w:noProof/>
                <w:sz w:val="20"/>
              </w:rPr>
            </w:pPr>
            <w:r>
              <w:rPr>
                <w:noProof/>
                <w:sz w:val="20"/>
              </w:rPr>
              <w:t>2</w:t>
            </w:r>
          </w:p>
        </w:tc>
        <w:tc>
          <w:tcPr>
            <w:tcW w:w="2842" w:type="dxa"/>
            <w:tcBorders>
              <w:bottom w:val="single" w:sz="4" w:space="0" w:color="auto"/>
            </w:tcBorders>
            <w:shd w:val="clear" w:color="auto" w:fill="auto"/>
          </w:tcPr>
          <w:p>
            <w:pPr>
              <w:spacing w:after="0"/>
              <w:jc w:val="left"/>
              <w:rPr>
                <w:noProof/>
                <w:sz w:val="20"/>
              </w:rPr>
            </w:pPr>
            <w:r>
              <w:rPr>
                <w:noProof/>
                <w:sz w:val="20"/>
              </w:rPr>
              <w:t xml:space="preserve">SE </w:t>
            </w:r>
            <w:r>
              <w:rPr>
                <w:i/>
                <w:iCs/>
                <w:noProof/>
                <w:color w:val="000000"/>
                <w:sz w:val="20"/>
              </w:rPr>
              <w:t>Riksdag</w:t>
            </w:r>
            <w:r>
              <w:rPr>
                <w:noProof/>
                <w:sz w:val="20"/>
              </w:rPr>
              <w:t xml:space="preserve">(2 balsis) </w:t>
            </w:r>
          </w:p>
        </w:tc>
      </w:tr>
      <w:tr>
        <w:trPr>
          <w:cantSplit/>
        </w:trPr>
        <w:tc>
          <w:tcPr>
            <w:tcW w:w="414" w:type="dxa"/>
            <w:shd w:val="clear" w:color="auto" w:fill="auto"/>
          </w:tcPr>
          <w:p>
            <w:pPr>
              <w:spacing w:after="0"/>
              <w:jc w:val="left"/>
              <w:rPr>
                <w:noProof/>
                <w:sz w:val="20"/>
              </w:rPr>
            </w:pPr>
            <w:r>
              <w:rPr>
                <w:noProof/>
                <w:sz w:val="20"/>
              </w:rPr>
              <w:t>21</w:t>
            </w:r>
          </w:p>
        </w:tc>
        <w:tc>
          <w:tcPr>
            <w:tcW w:w="1977" w:type="dxa"/>
            <w:shd w:val="clear" w:color="auto" w:fill="auto"/>
          </w:tcPr>
          <w:p>
            <w:pPr>
              <w:spacing w:after="0"/>
              <w:jc w:val="left"/>
              <w:rPr>
                <w:noProof/>
                <w:color w:val="000000"/>
                <w:sz w:val="20"/>
              </w:rPr>
            </w:pPr>
            <w:r>
              <w:rPr>
                <w:noProof/>
                <w:color w:val="000000"/>
                <w:sz w:val="20"/>
              </w:rPr>
              <w:t>COM(2017) 536</w:t>
            </w:r>
          </w:p>
        </w:tc>
        <w:tc>
          <w:tcPr>
            <w:tcW w:w="2662" w:type="dxa"/>
            <w:shd w:val="clear" w:color="auto" w:fill="auto"/>
          </w:tcPr>
          <w:p>
            <w:pPr>
              <w:spacing w:after="0"/>
              <w:jc w:val="left"/>
              <w:rPr>
                <w:b/>
                <w:bCs/>
                <w:noProof/>
                <w:color w:val="000000"/>
                <w:sz w:val="20"/>
              </w:rPr>
            </w:pPr>
            <w:r>
              <w:rPr>
                <w:noProof/>
                <w:color w:val="000000"/>
                <w:sz w:val="20"/>
              </w:rPr>
              <w:t xml:space="preserve">Priekšlikums Eiropas Parlamenta un Padomes regulai, ar kuru groza Regulu (ES) Nr. 1093/2010, Regulu (ES) Nr. 1094/2010, Regulu (ES) Nr. 1095/2010, Regulu (ES) Nr. 345/2013, Regulu (ES) Nr. 346/2013, Regulu (ES) Nr. 600/2014, Regulu (ES) Nr. 2015/760, Regulu (ES) 2016/1011 un Regulu (ES) 2017/1129 (priekšlikumi, kas </w:t>
            </w:r>
            <w:r>
              <w:rPr>
                <w:b/>
                <w:noProof/>
                <w:color w:val="000000"/>
                <w:sz w:val="20"/>
              </w:rPr>
              <w:t>stiprina Eiropas Savienības reformu</w:t>
            </w:r>
            <w:r>
              <w:rPr>
                <w:b/>
                <w:noProof/>
                <w:color w:val="000000"/>
                <w:sz w:val="20"/>
              </w:rPr>
              <w:cr/>
              <w:t>uzraudzības struktūru</w:t>
            </w:r>
            <w:r>
              <w:rPr>
                <w:noProof/>
                <w:color w:val="000000"/>
                <w:sz w:val="20"/>
              </w:rPr>
              <w:t>)</w:t>
            </w:r>
          </w:p>
        </w:tc>
        <w:tc>
          <w:tcPr>
            <w:tcW w:w="1356" w:type="dxa"/>
            <w:shd w:val="clear" w:color="auto" w:fill="auto"/>
          </w:tcPr>
          <w:p>
            <w:pPr>
              <w:spacing w:after="0"/>
              <w:jc w:val="center"/>
              <w:rPr>
                <w:noProof/>
                <w:sz w:val="20"/>
              </w:rPr>
            </w:pPr>
            <w:r>
              <w:rPr>
                <w:noProof/>
                <w:sz w:val="20"/>
              </w:rPr>
              <w:t>1</w:t>
            </w:r>
          </w:p>
        </w:tc>
        <w:tc>
          <w:tcPr>
            <w:tcW w:w="1337" w:type="dxa"/>
            <w:shd w:val="clear" w:color="auto" w:fill="auto"/>
          </w:tcPr>
          <w:p>
            <w:pPr>
              <w:spacing w:after="0"/>
              <w:jc w:val="center"/>
              <w:rPr>
                <w:noProof/>
                <w:sz w:val="20"/>
              </w:rPr>
            </w:pPr>
            <w:r>
              <w:rPr>
                <w:noProof/>
                <w:sz w:val="20"/>
              </w:rPr>
              <w:t>2</w:t>
            </w:r>
          </w:p>
        </w:tc>
        <w:tc>
          <w:tcPr>
            <w:tcW w:w="2842" w:type="dxa"/>
            <w:tcBorders>
              <w:bottom w:val="single" w:sz="4" w:space="0" w:color="auto"/>
            </w:tcBorders>
            <w:shd w:val="clear" w:color="auto" w:fill="auto"/>
          </w:tcPr>
          <w:p>
            <w:pPr>
              <w:spacing w:after="0"/>
              <w:jc w:val="left"/>
              <w:rPr>
                <w:noProof/>
                <w:sz w:val="20"/>
              </w:rPr>
            </w:pPr>
            <w:r>
              <w:rPr>
                <w:noProof/>
                <w:sz w:val="20"/>
              </w:rPr>
              <w:t xml:space="preserve">SE </w:t>
            </w:r>
            <w:r>
              <w:rPr>
                <w:i/>
                <w:iCs/>
                <w:noProof/>
                <w:color w:val="000000"/>
                <w:sz w:val="20"/>
              </w:rPr>
              <w:t xml:space="preserve">Riksdag </w:t>
            </w:r>
            <w:r>
              <w:rPr>
                <w:noProof/>
                <w:sz w:val="20"/>
              </w:rPr>
              <w:t xml:space="preserve">(2 balsis) </w:t>
            </w:r>
          </w:p>
        </w:tc>
      </w:tr>
      <w:tr>
        <w:trPr>
          <w:cantSplit/>
        </w:trPr>
        <w:tc>
          <w:tcPr>
            <w:tcW w:w="414" w:type="dxa"/>
            <w:shd w:val="clear" w:color="auto" w:fill="auto"/>
          </w:tcPr>
          <w:p>
            <w:pPr>
              <w:spacing w:after="0"/>
              <w:jc w:val="left"/>
              <w:rPr>
                <w:noProof/>
                <w:sz w:val="20"/>
              </w:rPr>
            </w:pPr>
            <w:r>
              <w:rPr>
                <w:noProof/>
                <w:sz w:val="20"/>
              </w:rPr>
              <w:t>22</w:t>
            </w:r>
          </w:p>
        </w:tc>
        <w:tc>
          <w:tcPr>
            <w:tcW w:w="1977" w:type="dxa"/>
            <w:shd w:val="clear" w:color="auto" w:fill="auto"/>
          </w:tcPr>
          <w:p>
            <w:pPr>
              <w:spacing w:after="0"/>
              <w:jc w:val="left"/>
              <w:rPr>
                <w:noProof/>
                <w:color w:val="000000"/>
                <w:sz w:val="20"/>
              </w:rPr>
            </w:pPr>
            <w:r>
              <w:rPr>
                <w:noProof/>
                <w:color w:val="000000"/>
                <w:sz w:val="20"/>
              </w:rPr>
              <w:t>COM(2016) 683</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direktīvai par </w:t>
            </w:r>
            <w:r>
              <w:rPr>
                <w:b/>
                <w:noProof/>
                <w:color w:val="000000"/>
                <w:sz w:val="20"/>
              </w:rPr>
              <w:t>kopējo konsolidēto uzņēmumu ienākuma nodokļa bāzi</w:t>
            </w:r>
            <w:r>
              <w:rPr>
                <w:noProof/>
                <w:color w:val="000000"/>
                <w:sz w:val="20"/>
              </w:rPr>
              <w:t xml:space="preserve"> </w:t>
            </w:r>
          </w:p>
        </w:tc>
        <w:tc>
          <w:tcPr>
            <w:tcW w:w="1356" w:type="dxa"/>
            <w:shd w:val="clear" w:color="auto" w:fill="auto"/>
          </w:tcPr>
          <w:p>
            <w:pPr>
              <w:spacing w:after="0"/>
              <w:jc w:val="center"/>
              <w:rPr>
                <w:noProof/>
                <w:sz w:val="20"/>
              </w:rPr>
            </w:pPr>
            <w:r>
              <w:rPr>
                <w:noProof/>
                <w:sz w:val="20"/>
              </w:rPr>
              <w:t>1</w:t>
            </w:r>
          </w:p>
        </w:tc>
        <w:tc>
          <w:tcPr>
            <w:tcW w:w="1337" w:type="dxa"/>
            <w:shd w:val="clear" w:color="auto" w:fill="auto"/>
          </w:tcPr>
          <w:p>
            <w:pPr>
              <w:spacing w:after="0"/>
              <w:jc w:val="center"/>
              <w:rPr>
                <w:noProof/>
                <w:sz w:val="20"/>
              </w:rPr>
            </w:pPr>
            <w:r>
              <w:rPr>
                <w:noProof/>
                <w:sz w:val="20"/>
              </w:rPr>
              <w:t>1</w:t>
            </w:r>
          </w:p>
        </w:tc>
        <w:tc>
          <w:tcPr>
            <w:tcW w:w="2842" w:type="dxa"/>
            <w:tcBorders>
              <w:bottom w:val="single" w:sz="4" w:space="0" w:color="auto"/>
            </w:tcBorders>
            <w:shd w:val="clear" w:color="auto" w:fill="auto"/>
          </w:tcPr>
          <w:p>
            <w:pPr>
              <w:spacing w:after="0"/>
              <w:jc w:val="left"/>
              <w:rPr>
                <w:noProof/>
                <w:sz w:val="20"/>
              </w:rPr>
            </w:pPr>
            <w:r>
              <w:rPr>
                <w:noProof/>
                <w:sz w:val="20"/>
              </w:rPr>
              <w:t xml:space="preserve">Apvienotās Karalistes parlamenta Pārstāvju palāta (1 balss) </w:t>
            </w:r>
          </w:p>
        </w:tc>
      </w:tr>
      <w:tr>
        <w:trPr>
          <w:cantSplit/>
        </w:trPr>
        <w:tc>
          <w:tcPr>
            <w:tcW w:w="414" w:type="dxa"/>
            <w:shd w:val="clear" w:color="auto" w:fill="auto"/>
          </w:tcPr>
          <w:p>
            <w:pPr>
              <w:spacing w:after="0"/>
              <w:jc w:val="left"/>
              <w:rPr>
                <w:noProof/>
                <w:sz w:val="20"/>
              </w:rPr>
            </w:pPr>
            <w:r>
              <w:rPr>
                <w:noProof/>
                <w:sz w:val="20"/>
              </w:rPr>
              <w:t>23</w:t>
            </w:r>
          </w:p>
        </w:tc>
        <w:tc>
          <w:tcPr>
            <w:tcW w:w="1977" w:type="dxa"/>
            <w:shd w:val="clear" w:color="auto" w:fill="auto"/>
          </w:tcPr>
          <w:p>
            <w:pPr>
              <w:spacing w:after="0"/>
              <w:jc w:val="left"/>
              <w:rPr>
                <w:noProof/>
                <w:color w:val="000000"/>
                <w:sz w:val="20"/>
              </w:rPr>
            </w:pPr>
            <w:r>
              <w:rPr>
                <w:noProof/>
                <w:color w:val="000000"/>
                <w:sz w:val="20"/>
              </w:rPr>
              <w:t>COM(2016) 685</w:t>
            </w:r>
          </w:p>
        </w:tc>
        <w:tc>
          <w:tcPr>
            <w:tcW w:w="2662" w:type="dxa"/>
            <w:shd w:val="clear" w:color="auto" w:fill="auto"/>
          </w:tcPr>
          <w:p>
            <w:pPr>
              <w:spacing w:after="0"/>
              <w:jc w:val="left"/>
              <w:rPr>
                <w:noProof/>
                <w:color w:val="000000"/>
                <w:sz w:val="20"/>
              </w:rPr>
            </w:pPr>
            <w:r>
              <w:rPr>
                <w:noProof/>
                <w:color w:val="000000"/>
                <w:sz w:val="20"/>
              </w:rPr>
              <w:t xml:space="preserve">Priekšlikums Eiropas Parlamenta un Padomes direktīvai par </w:t>
            </w:r>
            <w:r>
              <w:rPr>
                <w:b/>
                <w:noProof/>
                <w:color w:val="000000"/>
                <w:sz w:val="20"/>
              </w:rPr>
              <w:t>kopējo uzņēmumu ienākuma nodokļa bāzi</w:t>
            </w:r>
          </w:p>
        </w:tc>
        <w:tc>
          <w:tcPr>
            <w:tcW w:w="1356" w:type="dxa"/>
            <w:tcBorders>
              <w:bottom w:val="single" w:sz="4" w:space="0" w:color="auto"/>
            </w:tcBorders>
            <w:shd w:val="clear" w:color="auto" w:fill="auto"/>
          </w:tcPr>
          <w:p>
            <w:pPr>
              <w:spacing w:after="0"/>
              <w:jc w:val="center"/>
              <w:rPr>
                <w:noProof/>
                <w:sz w:val="20"/>
              </w:rPr>
            </w:pPr>
            <w:r>
              <w:rPr>
                <w:noProof/>
                <w:sz w:val="20"/>
              </w:rPr>
              <w:t>1</w:t>
            </w:r>
          </w:p>
        </w:tc>
        <w:tc>
          <w:tcPr>
            <w:tcW w:w="1337" w:type="dxa"/>
            <w:tcBorders>
              <w:bottom w:val="single" w:sz="4" w:space="0" w:color="auto"/>
            </w:tcBorders>
            <w:shd w:val="clear" w:color="auto" w:fill="auto"/>
          </w:tcPr>
          <w:p>
            <w:pPr>
              <w:spacing w:after="0"/>
              <w:jc w:val="center"/>
              <w:rPr>
                <w:noProof/>
                <w:sz w:val="20"/>
              </w:rPr>
            </w:pPr>
            <w:r>
              <w:rPr>
                <w:noProof/>
                <w:sz w:val="20"/>
              </w:rPr>
              <w:t>1</w:t>
            </w:r>
          </w:p>
        </w:tc>
        <w:tc>
          <w:tcPr>
            <w:tcW w:w="2842" w:type="dxa"/>
            <w:tcBorders>
              <w:bottom w:val="single" w:sz="4" w:space="0" w:color="auto"/>
            </w:tcBorders>
            <w:shd w:val="clear" w:color="auto" w:fill="auto"/>
          </w:tcPr>
          <w:p>
            <w:pPr>
              <w:spacing w:after="0"/>
              <w:jc w:val="left"/>
              <w:rPr>
                <w:noProof/>
                <w:sz w:val="20"/>
              </w:rPr>
            </w:pPr>
            <w:r>
              <w:rPr>
                <w:noProof/>
                <w:sz w:val="20"/>
              </w:rPr>
              <w:t xml:space="preserve">Apvienotās Karalistes parlamenta Pārstāvju palāta (1 balss) </w:t>
            </w:r>
          </w:p>
        </w:tc>
      </w:tr>
      <w:tr>
        <w:trPr>
          <w:cantSplit/>
        </w:trPr>
        <w:tc>
          <w:tcPr>
            <w:tcW w:w="5053" w:type="dxa"/>
            <w:gridSpan w:val="3"/>
            <w:shd w:val="clear" w:color="auto" w:fill="auto"/>
          </w:tcPr>
          <w:p>
            <w:pPr>
              <w:spacing w:after="0"/>
              <w:jc w:val="left"/>
              <w:rPr>
                <w:noProof/>
                <w:color w:val="000000"/>
                <w:sz w:val="20"/>
              </w:rPr>
            </w:pPr>
            <w:r>
              <w:rPr>
                <w:b/>
                <w:bCs/>
                <w:noProof/>
                <w:sz w:val="20"/>
              </w:rPr>
              <w:t>Saņemto pamatoto atzinumu KOPSKAITS</w:t>
            </w:r>
          </w:p>
        </w:tc>
        <w:tc>
          <w:tcPr>
            <w:tcW w:w="1356" w:type="dxa"/>
            <w:tcBorders>
              <w:right w:val="nil"/>
            </w:tcBorders>
            <w:shd w:val="clear" w:color="auto" w:fill="auto"/>
          </w:tcPr>
          <w:p>
            <w:pPr>
              <w:spacing w:after="0"/>
              <w:jc w:val="center"/>
              <w:rPr>
                <w:b/>
                <w:noProof/>
                <w:sz w:val="20"/>
              </w:rPr>
            </w:pPr>
            <w:r>
              <w:rPr>
                <w:b/>
                <w:noProof/>
                <w:sz w:val="20"/>
              </w:rPr>
              <w:t>52</w:t>
            </w:r>
          </w:p>
        </w:tc>
        <w:tc>
          <w:tcPr>
            <w:tcW w:w="1337" w:type="dxa"/>
            <w:tcBorders>
              <w:left w:val="nil"/>
              <w:right w:val="nil"/>
            </w:tcBorders>
            <w:shd w:val="clear" w:color="auto" w:fill="auto"/>
          </w:tcPr>
          <w:p>
            <w:pPr>
              <w:spacing w:after="0"/>
              <w:jc w:val="center"/>
              <w:rPr>
                <w:noProof/>
                <w:sz w:val="20"/>
              </w:rPr>
            </w:pPr>
          </w:p>
        </w:tc>
        <w:tc>
          <w:tcPr>
            <w:tcW w:w="2842" w:type="dxa"/>
            <w:tcBorders>
              <w:left w:val="nil"/>
              <w:bottom w:val="single" w:sz="4" w:space="0" w:color="auto"/>
            </w:tcBorders>
            <w:shd w:val="clear" w:color="auto" w:fill="auto"/>
          </w:tcPr>
          <w:p>
            <w:pPr>
              <w:spacing w:after="0"/>
              <w:jc w:val="left"/>
              <w:rPr>
                <w:noProof/>
                <w:sz w:val="20"/>
              </w:rPr>
            </w:pPr>
          </w:p>
        </w:tc>
      </w:tr>
    </w:tbl>
    <w:p>
      <w:pPr>
        <w:spacing w:after="0"/>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code="9"/>
      <w:pgMar w:top="1021" w:right="1191" w:bottom="1021" w:left="1191" w:header="60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68050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tabs>
          <w:tab w:val="left" w:pos="284"/>
        </w:tabs>
        <w:ind w:left="284" w:hanging="284"/>
        <w:rPr>
          <w:lang w:val="lv-LV"/>
        </w:rPr>
      </w:pPr>
      <w:r>
        <w:rPr>
          <w:rStyle w:val="FootnoteReference"/>
          <w:lang w:val="lv-LV"/>
        </w:rPr>
        <w:footnoteRef/>
      </w:r>
      <w:r>
        <w:rPr>
          <w:lang w:val="lv-LV"/>
        </w:rPr>
        <w:t xml:space="preserve"> </w:t>
      </w:r>
      <w:r>
        <w:rPr>
          <w:lang w:val="lv-LV"/>
        </w:rPr>
        <w:tab/>
        <w:t>Lai atzinumu varētu kvalificēt kā pamatotu atzinumu saskaņā ar 2. protokolā iekļauto definīciju, atzinumā ir jānorāda, kāpēc valsts parlaments uzskata, ka tiesību akta priekšlikums neatbilst subsidiaritātes principam, un tas ir jānosūta Komisijai astoņu nedēļu laikā pēc tam, kad tiesību akta priekšlikums ir nodots valstu parlamentiem visās oficiālajās valodās.</w:t>
      </w:r>
    </w:p>
  </w:footnote>
  <w:footnote w:id="2">
    <w:p>
      <w:pPr>
        <w:pStyle w:val="FootnoteText"/>
        <w:tabs>
          <w:tab w:val="left" w:pos="284"/>
        </w:tabs>
        <w:ind w:left="284" w:hanging="284"/>
        <w:rPr>
          <w:b/>
          <w:lang w:val="lv-LV"/>
        </w:rPr>
      </w:pPr>
      <w:r>
        <w:rPr>
          <w:rStyle w:val="FootnoteReference"/>
          <w:lang w:val="lv-LV"/>
        </w:rPr>
        <w:footnoteRef/>
      </w:r>
      <w:r>
        <w:rPr>
          <w:lang w:val="lv-LV"/>
        </w:rPr>
        <w:t xml:space="preserve"> </w:t>
      </w:r>
      <w:r>
        <w:rPr>
          <w:lang w:val="lv-LV"/>
        </w:rPr>
        <w:tab/>
        <w:t xml:space="preserve"> Saskaņā ar 2. protokolu katras valsts parlamentam ir divas balsis; ja valsts parlamentam ir divas palātas, katrai palātai ir viena balss. Ja pamatotie atzinumi pārstāv vismaz vienu trešo daļu (attiecībā uz priekšlikumiem saskaņā ar LESD 76. pantu — vienu ceturto daļu) no visu valstu parlamentiem piešķirtajām balsīm, ir sasniegts tā dēvētās “dzeltenās kartītes” slieksnis, un tiesību akta projekts ir jāpārskata. 19 balsis no 56 veido trešo daļu no piešķirtajām balsīm.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okumentam"/>
    <w:docVar w:name="LW_ANNEX_NBR_FIRST" w:val="1"/>
    <w:docVar w:name="LW_ANNEX_NBR_LAST" w:val="1"/>
    <w:docVar w:name="LW_ANNEX_UNIQUE" w:val="1"/>
    <w:docVar w:name="LW_CORRIGENDUM" w:val="&lt;UNUSED&gt;"/>
    <w:docVar w:name="LW_COVERPAGE_EXISTS" w:val="True"/>
    <w:docVar w:name="LW_COVERPAGE_GUID" w:val="6AEB8161-EEAE-4EAD-ABC4-A6049B592C37"/>
    <w:docVar w:name="LW_COVERPAGE_TYPE" w:val="1"/>
    <w:docVar w:name="LW_CROSSREFERENCE" w:val="&lt;UNUSED&gt;"/>
    <w:docVar w:name="LW_DocType" w:val="REP"/>
    <w:docVar w:name="LW_EMISSION" w:val="23.10.2018"/>
    <w:docVar w:name="LW_EMISSION_ISODATE" w:val="2018-10-23"/>
    <w:docVar w:name="LW_EMISSION_LOCATION" w:val="BRX"/>
    <w:docVar w:name="LW_EMISSION_PREFIX" w:val="Briselē, "/>
    <w:docVar w:name="LW_EMISSION_SUFFIX" w:val="."/>
    <w:docVar w:name="LW_ID_DOCTYPE_NONLW" w:val="CP-039"/>
    <w:docVar w:name="LW_LANGUE" w:val="LV"/>
    <w:docVar w:name="LW_LEVEL_OF_SENSITIVITY" w:val="Standard treatment"/>
    <w:docVar w:name="LW_NOM.INST" w:val="EIROPAS KOMISIJA"/>
    <w:docVar w:name="LW_NOM.INST_JOINTDOC" w:val="&lt;EMPTY&gt;"/>
    <w:docVar w:name="LW_OBJETACTEPRINCIPAL.CP" w:val="2017. GADA ZI\u325?OJUMS PAR SUBSIDIARIT\u256?TES PRINCIPA UN PROPORCIONALIT\u256?TES PRINCIPA PIEM\u274?RO\u352?ANU"/>
    <w:docVar w:name="LW_PART_NBR" w:val="1"/>
    <w:docVar w:name="LW_PART_NBR_TOTAL" w:val="1"/>
    <w:docVar w:name="LW_REF.INST.NEW" w:val="COM"/>
    <w:docVar w:name="LW_REF.INST.NEW_ADOPTED" w:val="final"/>
    <w:docVar w:name="LW_REF.INST.NEW_TEXT" w:val="(2018) 4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IELIKUMS_x000b_"/>
    <w:docVar w:name="LW_TYPEACTEPRINCIPAL.CP" w:val="KOMISIJAS ZI\u325?OJUMS"/>
  </w:docVar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rPr>
      <w:lang w:eastAsia="en-US"/>
    </w:rPr>
  </w:style>
  <w:style w:type="character" w:styleId="FootnoteReference">
    <w:name w:val="footnote reference"/>
    <w:uiPriority w:val="99"/>
    <w:semiHidden/>
    <w:rPr>
      <w:shd w:val="clear" w:color="auto" w:fill="auto"/>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basedOn w:val="DefaultParagraphFont"/>
    <w:link w:val="FootnoteText"/>
    <w:uiPriority w:val="99"/>
    <w:rPr>
      <w:lang w:eastAsia="en-US"/>
    </w:rPr>
  </w:style>
  <w:style w:type="character" w:styleId="FootnoteReference">
    <w:name w:val="footnote reference"/>
    <w:uiPriority w:val="99"/>
    <w:semiHidden/>
    <w:rPr>
      <w:shd w:val="clear" w:color="auto" w:fill="auto"/>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EurolookProperties>
  <Created>
    <Version>4.6</Version>
    <Date>2018-08-29T14:15:07</Date>
    <Language>EN</Language>
  </Created>
  <Edited>
    <Version>10.0.37441.0</Version>
    <Date>2018-08-29T14:18:08</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FD100039-0FCC-476C-9215-23B3C1092BF2}">
  <ds:schemaRefs/>
</ds:datastoreItem>
</file>

<file path=customXml/itemProps2.xml><?xml version="1.0" encoding="utf-8"?>
<ds:datastoreItem xmlns:ds="http://schemas.openxmlformats.org/officeDocument/2006/customXml" ds:itemID="{5B1E9563-3F6D-4E0D-B110-DBD1D793F22A}">
  <ds:schemaRefs/>
</ds:datastoreItem>
</file>

<file path=customXml/itemProps3.xml><?xml version="1.0" encoding="utf-8"?>
<ds:datastoreItem xmlns:ds="http://schemas.openxmlformats.org/officeDocument/2006/customXml" ds:itemID="{AC5F7B91-AF2B-4778-AC25-05BCD0DA553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996</Words>
  <Characters>6121</Characters>
  <Application>Microsoft Office Word</Application>
  <DocSecurity>0</DocSecurity>
  <PresentationFormat>Microsoft Word 14.0</PresentationFormat>
  <Lines>437</Lines>
  <Paragraphs>203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Therace</dc:creator>
  <cp:keywords>EL4</cp:keywords>
  <cp:lastModifiedBy>WES PDFC Administrator</cp:lastModifiedBy>
  <cp:revision>10</cp:revision>
  <dcterms:created xsi:type="dcterms:W3CDTF">2018-09-19T16:00:00Z</dcterms:created>
  <dcterms:modified xsi:type="dcterms:W3CDTF">2018-10-23T07:02:00Z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1</vt:lpwstr>
  </property>
  <property fmtid="{D5CDD505-2E9C-101B-9397-08002B2CF9AE}" pid="16" name="Unique annex">
    <vt:lpwstr>1</vt:lpwstr>
  </property>
  <property fmtid="{D5CDD505-2E9C-101B-9397-08002B2CF9AE}" pid="17" name="Part">
    <vt:lpwstr>1</vt:lpwstr>
  </property>
  <property fmtid="{D5CDD505-2E9C-101B-9397-08002B2CF9AE}" pid="18" name="Total parts">
    <vt:lpwstr>1</vt:lpwstr>
  </property>
  <property fmtid="{D5CDD505-2E9C-101B-9397-08002B2CF9AE}" pid="19" name="DocStatus">
    <vt:lpwstr>Green</vt:lpwstr>
  </property>
</Properties>
</file>