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CFA3A5E1-E495-499A-8E3E-E48808CFC8DF" style="width:450.75pt;height:351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RELAZIONE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CONTESTO DELLA 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Motivi e obiettivi della proposta</w:t>
      </w:r>
    </w:p>
    <w:p>
      <w:pPr>
        <w:rPr>
          <w:noProof/>
        </w:rPr>
      </w:pPr>
      <w:r>
        <w:rPr>
          <w:noProof/>
        </w:rPr>
        <w:t>Il regolamento (UE) 2019/124 del Consiglio stabilisce, per il 2019, le possibilità di pesca per alcuni stock ittici e gruppi di stock ittici, applicabili nelle acque dell'Unione e, per i pescherecci dell'Unione, in determinate acque non dell'Unione. Tali possibilità di pesca vengono di solito modificate più volte nel corso del periodo in cui sono in vigore.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Coerenza con le disposizioni vigenti nel settore normativo interessato</w:t>
      </w:r>
    </w:p>
    <w:p>
      <w:pPr>
        <w:rPr>
          <w:noProof/>
        </w:rPr>
      </w:pPr>
      <w:r>
        <w:rPr>
          <w:noProof/>
        </w:rPr>
        <w:t>Le misure proposte sono state elaborate in linea con gli obiettivi e le norme della politica comune della pesca e sono conformi alla politica dell'Unione in materia di sviluppo sostenibile.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Coerenza con le altre normative dell'Unione</w:t>
      </w:r>
    </w:p>
    <w:p>
      <w:pPr>
        <w:rPr>
          <w:noProof/>
        </w:rPr>
      </w:pPr>
      <w:r>
        <w:rPr>
          <w:noProof/>
        </w:rPr>
        <w:t>Le misure proposte sono coerenti con le altre normative dell'Unione, in particolare in materia di ambiente.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BASE GIURIDICA, SUSSIDIARIETÀ E PROPORZIONALITÀ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Base giuridica</w:t>
      </w:r>
    </w:p>
    <w:p>
      <w:pPr>
        <w:rPr>
          <w:noProof/>
        </w:rPr>
      </w:pPr>
      <w:r>
        <w:rPr>
          <w:noProof/>
        </w:rPr>
        <w:t xml:space="preserve">La base giuridica della presente proposta è l'articolo 43, paragrafo 3, del trattato sul funzionamento dell'Unione europea. </w:t>
      </w:r>
    </w:p>
    <w:p>
      <w:pPr>
        <w:rPr>
          <w:noProof/>
        </w:rPr>
      </w:pPr>
      <w:r>
        <w:rPr>
          <w:noProof/>
        </w:rPr>
        <w:t>Gli obblighi dell'Unione in materia di sfruttamento sostenibile delle risorse acquatiche vive trovano il loro fondamento giuridico nell'articolo 2 del nuovo regolamento di base della PCP.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Sussidiarietà (per la competenza non esclusiva) </w:t>
      </w:r>
    </w:p>
    <w:p>
      <w:pPr>
        <w:spacing w:after="0"/>
        <w:rPr>
          <w:noProof/>
        </w:rPr>
      </w:pPr>
      <w:r>
        <w:rPr>
          <w:noProof/>
        </w:rPr>
        <w:t>La proposta è di competenza esclusiva dell'Unione secondo quanto previsto all'articolo 3, paragrafo 1, lettera d), del trattato. Pertanto, il principio di sussidiarietà non si applica.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Proporzionalità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La proposta rispetta il principio di proporzionalità per il seguente motivo: la PCP è una politica comune. A norma dell'articolo 43, paragrafo 3, del trattato, il Consiglio adotta le misure relative alla fissazione e alla ripartizione delle possibilità di pesca.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Scelta dello strumento</w:t>
      </w:r>
    </w:p>
    <w:p>
      <w:pPr>
        <w:spacing w:after="0"/>
        <w:rPr>
          <w:noProof/>
        </w:rPr>
      </w:pPr>
      <w:r>
        <w:rPr>
          <w:noProof/>
        </w:rPr>
        <w:t xml:space="preserve">Strumento proposto: regolamento.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RISULTATI DELLE VALUTAZIONI EX POST, DELLE CONSULTAZIONI DEI PORTATORI DI INTERESSI E DELLE VALUTAZIONI D'IMPATTO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Valutazioni ex post/Vaglio di adeguatezza della legislazione vigente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Non pertinente.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Consultazioni dei portatori di interessi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La proposta tiene conto delle osservazioni dei portatori di interessi, dei consigli consultivi, delle amministrazioni nazionali, delle organizzazioni dei pescatori e delle organizzazioni non governative.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Assunzione e uso di perizie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La proposta si basa sui pareri scientifici del Consiglio internazionale per l’esplorazione del mare (CIEM).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Valutazione d'impatto</w:t>
      </w:r>
    </w:p>
    <w:p>
      <w:pPr>
        <w:rPr>
          <w:noProof/>
        </w:rPr>
      </w:pPr>
      <w:r>
        <w:rPr>
          <w:noProof/>
        </w:rPr>
        <w:t>L'ambito di applicazione del regolamento sulle possibilità di pesca è circoscritto dall'articolo 43, paragrafo 3, del trattato.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Efficienza normativa e semplificazione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Non pertinente.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Diritti fondamentali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Non pertinente.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INCIDENZA SUL BILANCIO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Nessuna.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ALTRI ELEMENTI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Illustrazione dettagliata delle singole disposizioni della proposta</w:t>
      </w:r>
    </w:p>
    <w:p>
      <w:pPr>
        <w:rPr>
          <w:noProof/>
        </w:rPr>
      </w:pPr>
      <w:r>
        <w:rPr>
          <w:noProof/>
        </w:rPr>
        <w:t>Le modifiche proposte mirano a modificare il regolamento (UE) 2019/124 come descritto nel prosieguo.</w:t>
      </w:r>
    </w:p>
    <w:p>
      <w:pPr>
        <w:rPr>
          <w:noProof/>
        </w:rPr>
      </w:pPr>
      <w:r>
        <w:rPr>
          <w:noProof/>
        </w:rPr>
        <w:t>Il cicerello è una specie dal ciclo vitale breve per la quale i pareri scientifici sono disponibili nella seconda metà di febbraio, mentre la campagna di pesca inizia già ad aprile. Nel regolamento (UE) 2019/124 del Consiglio i limiti del totale ammissibile di catture (TAC) erano fissati a zero. Essi dovrebbero pertanto essere modificati in linea con il più recente parere scientifico del CIEM.</w:t>
      </w:r>
    </w:p>
    <w:p>
      <w:pPr>
        <w:rPr>
          <w:noProof/>
        </w:rPr>
      </w:pPr>
      <w:r>
        <w:rPr>
          <w:noProof/>
        </w:rPr>
        <w:t>La 15</w:t>
      </w:r>
      <w:r>
        <w:rPr>
          <w:noProof/>
          <w:vertAlign w:val="superscript"/>
        </w:rPr>
        <w:t>a</w:t>
      </w:r>
      <w:r>
        <w:rPr>
          <w:noProof/>
        </w:rPr>
        <w:t xml:space="preserve"> sessione ordinaria della Commissione per la pesca nel Pacifico centro-occidentale (WCPFC) si è svolta dal 9 al 14 dicembre 2018. È opportuno che le misure concordate nel corso di tale sessione siano attuate nel diritto dell'Unione.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2019/0068 (NLE)</w:t>
      </w:r>
    </w:p>
    <w:p>
      <w:pPr>
        <w:pStyle w:val="Statut"/>
        <w:rPr>
          <w:noProof/>
        </w:rPr>
      </w:pPr>
      <w:r>
        <w:rPr>
          <w:noProof/>
        </w:rPr>
        <w:t>Proposta di</w:t>
      </w:r>
    </w:p>
    <w:p>
      <w:pPr>
        <w:pStyle w:val="Typedudocument"/>
        <w:rPr>
          <w:noProof/>
        </w:rPr>
      </w:pPr>
      <w:r>
        <w:rPr>
          <w:noProof/>
        </w:rPr>
        <w:t>REGOLAMENTO DEL CONSIGLIO</w:t>
      </w:r>
    </w:p>
    <w:p>
      <w:pPr>
        <w:pStyle w:val="Titreobjet"/>
        <w:rPr>
          <w:noProof/>
        </w:rPr>
      </w:pPr>
      <w:r>
        <w:rPr>
          <w:noProof/>
        </w:rPr>
        <w:t>che modifica il regolamento (UE) 2019/124 per quanto riguarda determinate possibilità di pesca</w:t>
      </w:r>
    </w:p>
    <w:p>
      <w:pPr>
        <w:pStyle w:val="Institutionquiagit"/>
        <w:rPr>
          <w:noProof/>
        </w:rPr>
      </w:pPr>
      <w:r>
        <w:rPr>
          <w:noProof/>
        </w:rPr>
        <w:t>IL CONSIGLIO DELL'UNIONE EUROPEA,</w:t>
      </w:r>
    </w:p>
    <w:p>
      <w:pPr>
        <w:rPr>
          <w:noProof/>
        </w:rPr>
      </w:pPr>
      <w:r>
        <w:rPr>
          <w:noProof/>
        </w:rPr>
        <w:t>visto il trattato sul funzionamento dell'Unione europea, in particolare l'articolo 43, paragrafo 3,</w:t>
      </w:r>
    </w:p>
    <w:p>
      <w:pPr>
        <w:rPr>
          <w:noProof/>
        </w:rPr>
      </w:pPr>
      <w:r>
        <w:rPr>
          <w:noProof/>
        </w:rPr>
        <w:t>vista la proposta della Commissione europea,</w:t>
      </w:r>
    </w:p>
    <w:p>
      <w:pPr>
        <w:rPr>
          <w:noProof/>
        </w:rPr>
      </w:pPr>
      <w:r>
        <w:rPr>
          <w:noProof/>
        </w:rPr>
        <w:t>considerando quanto segue: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 regolamento (UE) 2019/124 del Consiglio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stabilisce, per il 2019, le possibilità di pesca per alcuni stock ittici e gruppi di stock ittici, applicabili nelle acque dell'Unione e, per i pescherecci dell'Unione, in determinate acque non dell'Unione.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Nella riunione annuale del 2018 la Commissione per la pesca nel Pacifico centro-occidentale (WCPFC) ha mantenuto le misure di conservazione per il pesce spada e il tonno tropicale. È opportuno che tali misure siano attuate nel diritto dell'Unione.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Nel regolamento (UE) 2019/124 il totale ammissibile di catture (TAC) per il cicerello nelle divisioni CIEM 2a e 3a e nella sottozona CIEM 4 era fissato a zero. Il cicerello è una specie dal ciclo vitale breve per la quale i pareri scientifici pertinenti sono disponibili nella seconda metà di febbraio, mentre la campagna di pesca inizia già ad aprile.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È ora opportuno modificare i limiti di cattura per il cicerello nelle divisioni CIEM 2a e 3a e nella sottozona CIEM 4 in linea con il più recente parere scientifico del Consiglio internazionale per l'esplorazione del mare (CIEM) pubblicato il [22 febbraio 2019].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È opportuno modificare di conseguenza il regolamento (UE) 2019/124.</w:t>
      </w:r>
    </w:p>
    <w:p>
      <w:pPr>
        <w:pStyle w:val="ManualConsidrant"/>
        <w:rPr>
          <w:noProof/>
          <w:szCs w:val="24"/>
        </w:rPr>
      </w:pPr>
      <w:r>
        <w:t>(6)</w:t>
      </w:r>
      <w:r>
        <w:tab/>
      </w:r>
      <w:r>
        <w:rPr>
          <w:noProof/>
        </w:rPr>
        <w:t>I limiti di cattura previsti dal regolamento (UE) 2019/124 si applicano a decorrere dal 1° gennaio 2019. È pertanto opportuno che anche le disposizioni introdotte dal presente regolamento modificativo relative ai limiti di cattura si applichino a decorrere da tale data. Tale applicazione retroattiva non pregiudica i principi della certezza del diritto e di tutela del legittimo affidamento, in quanto le possibilità di pesca in questione non sono state ancora esaurite,</w:t>
      </w:r>
    </w:p>
    <w:p>
      <w:pPr>
        <w:pStyle w:val="ManualConsidrant"/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HA ADOTTATO IL PRESENTE REGOLAMENTO:</w:t>
      </w:r>
    </w:p>
    <w:p>
      <w:pPr>
        <w:pStyle w:val="Titrearticle"/>
        <w:rPr>
          <w:noProof/>
        </w:rPr>
      </w:pPr>
      <w:r>
        <w:rPr>
          <w:noProof/>
        </w:rPr>
        <w:t>Articolo 1</w:t>
      </w:r>
      <w:r>
        <w:rPr>
          <w:noProof/>
        </w:rPr>
        <w:br/>
      </w:r>
    </w:p>
    <w:p>
      <w:pPr>
        <w:rPr>
          <w:noProof/>
        </w:rPr>
      </w:pPr>
      <w:r>
        <w:rPr>
          <w:noProof/>
        </w:rPr>
        <w:t>Gli allegati IA, IH e VII del regolamento (UE) 2019/124 sono modificati conformemente all'allegato del presente regolamento.</w:t>
      </w:r>
    </w:p>
    <w:p>
      <w:pPr>
        <w:pStyle w:val="Titrearticle"/>
        <w:rPr>
          <w:noProof/>
        </w:rPr>
      </w:pPr>
      <w:r>
        <w:rPr>
          <w:noProof/>
        </w:rPr>
        <w:t>Articolo 2</w:t>
      </w:r>
    </w:p>
    <w:p>
      <w:pPr>
        <w:rPr>
          <w:noProof/>
        </w:rPr>
      </w:pPr>
      <w:r>
        <w:rPr>
          <w:noProof/>
        </w:rPr>
        <w:t xml:space="preserve">Il presente regolamento entra in vigore il giorno successivo alla pubblicazione nella </w:t>
      </w:r>
      <w:r>
        <w:rPr>
          <w:i/>
          <w:noProof/>
        </w:rPr>
        <w:t>Gazzetta ufficiale dell'Unione europea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Esso si applica a decorrere dal 1º gennaio 2019.</w:t>
      </w:r>
    </w:p>
    <w:p>
      <w:pPr>
        <w:pStyle w:val="Applicationdirecte"/>
        <w:rPr>
          <w:noProof/>
        </w:rPr>
      </w:pPr>
      <w:r>
        <w:rPr>
          <w:noProof/>
        </w:rPr>
        <w:t>Il presente regolamento è obbligatorio in tutti i suoi elementi e direttamente applicabile in ciascuno degli Stati membri.</w:t>
      </w:r>
    </w:p>
    <w:p>
      <w:pPr>
        <w:pStyle w:val="Fait"/>
        <w:rPr>
          <w:noProof/>
        </w:rPr>
      </w:pPr>
      <w:r>
        <w:t>Fatto a Bruxelles, il</w:t>
      </w:r>
    </w:p>
    <w:p>
      <w:pPr>
        <w:pStyle w:val="Institutionquisigne"/>
        <w:rPr>
          <w:noProof/>
        </w:rPr>
      </w:pPr>
      <w:r>
        <w:rPr>
          <w:noProof/>
        </w:rPr>
        <w:tab/>
        <w:t>Per il Consiglio</w:t>
      </w:r>
    </w:p>
    <w:p>
      <w:pPr>
        <w:pStyle w:val="Personnequisigne"/>
        <w:rPr>
          <w:noProof/>
        </w:rPr>
      </w:pPr>
      <w:r>
        <w:rPr>
          <w:noProof/>
        </w:rPr>
        <w:tab/>
        <w:t>Il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Regolamento (UE) 2019/124 del Consiglio, del 30 gennaio 2019, che stabilisce, per il 2019, le possibilità di pesca per alcuni stock ittici e gruppi di stock ittici, applicabili nelle acque dell'Unione e, per i pescherecci dell'Unione, in determinate acque non dell'Unione (GU L 29 del 31.1.2019, pag. 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282F9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CA667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57EF4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0BC00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382872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B2EFB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3C257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4FE14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hideSpellingErrors/>
  <w:hideGrammaticalError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revisionView w:markup="0"/>
  <w:defaultTabStop w:val="720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2-28 09:50:1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CFA3A5E1-E495-499A-8E3E-E48808CFC8DF"/>
    <w:docVar w:name="LW_COVERPAGE_TYPE" w:val="1"/>
    <w:docVar w:name="LW_CROSSREFERENCE" w:val="&lt;UNUSED&gt;"/>
    <w:docVar w:name="LW_DocType" w:val="COM"/>
    <w:docVar w:name="LW_EMISSION" w:val="4.3.2019"/>
    <w:docVar w:name="LW_EMISSION_ISODATE" w:val="2019-03-04"/>
    <w:docVar w:name="LW_EMISSION_LOCATION" w:val="BRX"/>
    <w:docVar w:name="LW_EMISSION_PREFIX" w:val="Bruxelles, "/>
    <w:docVar w:name="LW_EMISSION_SUFFIX" w:val=" "/>
    <w:docVar w:name="LW_ID_DOCMODEL" w:val="SJ-016"/>
    <w:docVar w:name="LW_ID_DOCSIGNATURE" w:val="SJ-016"/>
    <w:docVar w:name="LW_ID_DOCSTRUCTURE" w:val="COM/PL/ORG"/>
    <w:docVar w:name="LW_ID_DOCTYPE" w:val="SJ-016"/>
    <w:docVar w:name="LW_ID_STATUT" w:val="SJ-016"/>
    <w:docVar w:name="LW_INTERETEEE.CP" w:val="&lt;UNUSED&gt;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68"/>
    <w:docVar w:name="LW_REF.II.NEW.CP_YEAR" w:val="2019"/>
    <w:docVar w:name="LW_REF.INST.NEW" w:val="COM"/>
    <w:docVar w:name="LW_REF.INST.NEW_ADOPTED" w:val="final"/>
    <w:docVar w:name="LW_REF.INST.NEW_TEXT" w:val="(2019) 12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Proposta di"/>
    <w:docVar w:name="LW_SUPERTITRE" w:val="&lt;UNUSED&gt;"/>
    <w:docVar w:name="LW_TITRE.OBJ.CP" w:val="che modifica il regolamento (UE) 2019/124 per quanto riguarda determinate possibilità di pesca"/>
    <w:docVar w:name="LW_TYPE.DOC.CP" w:val="REGOLAMENTO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553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64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2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95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5B01-4E1B-408D-B02D-8F808B74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5</Pages>
  <Words>885</Words>
  <Characters>5197</Characters>
  <Application>Microsoft Office Word</Application>
  <DocSecurity>0</DocSecurity>
  <Lines>110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2017-02-27T10:10:00Z</cp:lastPrinted>
  <dcterms:created xsi:type="dcterms:W3CDTF">2019-02-27T09:27:00Z</dcterms:created>
  <dcterms:modified xsi:type="dcterms:W3CDTF">2019-02-28T08:50:00Z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5.8.86.0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SJ-016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