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60B7DCE-C39E-4C81-B30E-CBC1ACD6010E" style="width:450.75pt;height:338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OBRAZLOŽENJE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PRIJEDLOGA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Razlozi i ciljevi prijedloga</w:t>
      </w:r>
    </w:p>
    <w:p>
      <w:pPr>
        <w:rPr>
          <w:noProof/>
        </w:rPr>
      </w:pPr>
      <w:r>
        <w:rPr>
          <w:noProof/>
        </w:rPr>
        <w:t>Uredbom Vijeća (EU) 2019/124 utvrđene su ribolovne mogućnosti za 2019. za određene riblje stokove i skupine ribljih stokova koje se primjenjuju u vodama Unije te, za ribarska plovila Unije, u određenim vodama izvan Unije. Te se ribolovne mogućnosti obično mijenjaju nekoliko puta tijekom razdoblja u kojem su na snazi.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u odnosu na postojeće odredbe politike u određenom području</w:t>
      </w:r>
    </w:p>
    <w:p>
      <w:pPr>
        <w:rPr>
          <w:noProof/>
        </w:rPr>
      </w:pPr>
      <w:r>
        <w:rPr>
          <w:noProof/>
        </w:rPr>
        <w:t>Predložene mjere u skladu su s ciljevima i pravilima zajedničke ribarstvene politike i Unijine politike održivog razvoja.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Dosljednost u odnosu na druge politike Unije</w:t>
      </w:r>
    </w:p>
    <w:p>
      <w:pPr>
        <w:rPr>
          <w:noProof/>
        </w:rPr>
      </w:pPr>
      <w:r>
        <w:rPr>
          <w:noProof/>
        </w:rPr>
        <w:t>Predložene mjere u skladu su s ostalim politikama Unije, u prvom redu s politikama u području zaštite okoliša.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OSNOVA, SUPSIDIJARNOST I PROPORCIONALNOST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Pravna osnova</w:t>
      </w:r>
    </w:p>
    <w:p>
      <w:pPr>
        <w:rPr>
          <w:noProof/>
        </w:rPr>
      </w:pPr>
      <w:r>
        <w:rPr>
          <w:noProof/>
        </w:rPr>
        <w:t xml:space="preserve">Pravna osnova ovog prijedloga jest članak 43. stavak 3. Ugovora o funkcioniranju Europske unije. </w:t>
      </w:r>
    </w:p>
    <w:p>
      <w:pPr>
        <w:rPr>
          <w:noProof/>
        </w:rPr>
      </w:pPr>
      <w:r>
        <w:rPr>
          <w:noProof/>
        </w:rPr>
        <w:t>Obveze Unije povezane s održivim iskorištavanjem živih morskih resursa proizlaze iz obveza utvrđenih u članku 2. nove osnovne uredbe o ZRP-u.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Supsidijarnost (za neisključivu nadležnost) </w:t>
      </w:r>
    </w:p>
    <w:p>
      <w:pPr>
        <w:spacing w:after="0"/>
        <w:rPr>
          <w:noProof/>
        </w:rPr>
      </w:pPr>
      <w:r>
        <w:rPr>
          <w:noProof/>
        </w:rPr>
        <w:t>Prijedlog je u isključivoj nadležnosti Unije kako je navedeno u članku 3. stavku 1. točki (d) Ugovora. Stoga se načelo supsidijarnosti ne primjenjuje.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Proporcionalnost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Prijedlog je u skladu s načelom proporcionalnosti zbog sljedećeg razloga: ZRP je zajednička politika. U skladu s člankom 43. stavkom 3. Ugovora Vijeće donosi mjere o utvrđivanju i raspodjeli ribolovnih mogućnosti.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Odabir instrumenta</w:t>
      </w:r>
    </w:p>
    <w:p>
      <w:pPr>
        <w:spacing w:after="0"/>
        <w:rPr>
          <w:noProof/>
        </w:rPr>
      </w:pPr>
      <w:r>
        <w:rPr>
          <w:noProof/>
        </w:rPr>
        <w:t xml:space="preserve">Predloženi instrument: uredba.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REZULTATI </w:t>
      </w:r>
      <w:r>
        <w:rPr>
          <w:i/>
          <w:noProof/>
        </w:rPr>
        <w:t>EX POST</w:t>
      </w:r>
      <w:r>
        <w:rPr>
          <w:noProof/>
        </w:rPr>
        <w:t xml:space="preserve"> EVALUACIJA, SAVJETOVANJA S DIONICIMA I PROCJENA UČINKA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</w:r>
      <w:r>
        <w:rPr>
          <w:i/>
          <w:noProof/>
        </w:rPr>
        <w:t xml:space="preserve">Ex post </w:t>
      </w:r>
      <w:r>
        <w:rPr>
          <w:noProof/>
        </w:rPr>
        <w:t>evaluacije/provjere primjerenosti postojećeg zakonodavstva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Nije primjenjivo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Savjetovanja s dionicima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 prijedlogu se uzimaju u obzir mišljenja dionika, savjetodavnih vijeća, nacionalnih uprava, organizacija ribara i nevladinih organizacija.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lastRenderedPageBreak/>
        <w:t>•</w:t>
      </w:r>
      <w:r>
        <w:rPr>
          <w:noProof/>
        </w:rPr>
        <w:tab/>
        <w:t>Prikupljanje i primjena stručnih znanja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Prijedlog se temelji na znanstvenim savjetima Međunarodnog vijeća za istraživanje mora (ICES).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Procjena učinka</w:t>
      </w:r>
    </w:p>
    <w:p>
      <w:pPr>
        <w:rPr>
          <w:noProof/>
        </w:rPr>
      </w:pPr>
      <w:r>
        <w:rPr>
          <w:noProof/>
        </w:rPr>
        <w:t>Područje primjene uredbe o ribolovnim mogućnostima određeno je člankom 43. stavkom 3. Ugovora.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Primjerenost propisa i pojednostavnjenje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Nije primjenjivo.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Temeljna prava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Nije primjenjivo.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UTJECAJ NA PRORAČUN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Predložene mjere neće imati utjecaj na proračun.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OSTALI DIJELOVI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Detaljno obrazloženje posebnih odredbi prijedloga</w:t>
      </w:r>
    </w:p>
    <w:p>
      <w:pPr>
        <w:rPr>
          <w:noProof/>
        </w:rPr>
      </w:pPr>
      <w:r>
        <w:rPr>
          <w:noProof/>
        </w:rPr>
        <w:t xml:space="preserve">Predloženim izmjenama Uredba (EU) 2019/124 izmijenila bi se kako je opisano u nastavku. </w:t>
      </w:r>
    </w:p>
    <w:p>
      <w:pPr>
        <w:rPr>
          <w:noProof/>
        </w:rPr>
      </w:pPr>
      <w:r>
        <w:rPr>
          <w:noProof/>
        </w:rPr>
        <w:t>Hujica je vrsta koja kratko živi i za koju su znanstveni savjeti dostupni u drugoj polovini veljače, a ribolov počinje već u travnju.  U Uredbi Vijeća (EU) 2019/124 ukupni dopušteni ulov (TAC) utvrđen je na nulu. Stoga bi ga trebalo izmijeniti u skladu s najnovijim znanstvenim savjetima ICES-a.</w:t>
      </w:r>
    </w:p>
    <w:p>
      <w:pPr>
        <w:rPr>
          <w:noProof/>
        </w:rPr>
      </w:pPr>
      <w:r>
        <w:rPr>
          <w:noProof/>
        </w:rPr>
        <w:t>15. redovna sjednica Komisije za ribarstvo zapadnog i središnjeg Pacifika (WCPFC) održana je od 9. do 14. prosinca 2018. Mjere dogovorene na toj sjednici trebalo bi provesti u pravu Unije.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2019/0068 (NLE)</w:t>
      </w:r>
    </w:p>
    <w:p>
      <w:pPr>
        <w:pStyle w:val="Statut"/>
        <w:rPr>
          <w:noProof/>
        </w:rPr>
      </w:pPr>
      <w:r>
        <w:rPr>
          <w:noProof/>
        </w:rPr>
        <w:t>Prijedlog</w:t>
      </w:r>
    </w:p>
    <w:p>
      <w:pPr>
        <w:pStyle w:val="Typedudocument"/>
        <w:rPr>
          <w:noProof/>
        </w:rPr>
      </w:pPr>
      <w:r>
        <w:rPr>
          <w:noProof/>
        </w:rPr>
        <w:t>UREDBE VIJEĆA</w:t>
      </w:r>
    </w:p>
    <w:p>
      <w:pPr>
        <w:pStyle w:val="Titreobjet"/>
        <w:rPr>
          <w:noProof/>
        </w:rPr>
      </w:pPr>
      <w:r>
        <w:rPr>
          <w:noProof/>
        </w:rPr>
        <w:t>o izmjeni Uredbe (EU) 2019/124 u pogledu određenih ribolovnih mogućnosti</w:t>
      </w:r>
    </w:p>
    <w:p>
      <w:pPr>
        <w:pStyle w:val="Institutionquiagit"/>
        <w:rPr>
          <w:noProof/>
        </w:rPr>
      </w:pPr>
      <w:r>
        <w:rPr>
          <w:noProof/>
        </w:rPr>
        <w:t>VIJEĆE EUROPSKE UNIJE,</w:t>
      </w:r>
    </w:p>
    <w:p>
      <w:pPr>
        <w:rPr>
          <w:noProof/>
        </w:rPr>
      </w:pPr>
      <w:r>
        <w:rPr>
          <w:noProof/>
        </w:rPr>
        <w:t>uzimajući u obzir Ugovor o funkcioniranju Europske unije, a posebno njegov članak 43. stavak 3.,</w:t>
      </w:r>
    </w:p>
    <w:p>
      <w:pPr>
        <w:rPr>
          <w:noProof/>
        </w:rPr>
      </w:pPr>
      <w:r>
        <w:rPr>
          <w:noProof/>
        </w:rPr>
        <w:t>uzimajući u obzir prijedlog Europske komisije,</w:t>
      </w:r>
    </w:p>
    <w:p>
      <w:pPr>
        <w:rPr>
          <w:noProof/>
        </w:rPr>
      </w:pPr>
      <w:r>
        <w:rPr>
          <w:noProof/>
        </w:rPr>
        <w:t>budući da: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Uredbom Vijeća (EU) 2019/124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utvrđene su ribolovne mogućnosti za 2019. za određene riblje stokove i skupine ribljih stokova koje se primjenjuju u vodama Unije te, za ribarska plovila Unije, u određenim vodama izvan Unije.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Na svojem godišnjem sastanku 2018. Komisija za ribarstvo zapadnog i središnjeg Pacifika (WCPFC) zadržala je mjere očuvanja za igluna i tropsku tunu. Te bi mjere trebalo provesti u pravu Unije.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U Uredbi (EU) 2019/124 ukupni dopušteni ulov (TAC) za hujicu u zonama ICES-a 2a i 3a te na potpodručju ICES-a 4 utvrđen je na nulu. Hujica je vrsta koja kratko živi i za koju su relevantni znanstveni savjeti dostupni u drugoj polovini veljače, a ribolov počinje već u travnju.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Ograničenja ulova za hujicu u zonama ICES-a 2a i 3a te na potpodručju ICES-a 4 sada bi trebalo izmijeniti u skladu s najnovijim znanstvenim savjetima Međunarodnog vijeća za istraživanje mora (ICES), koji su objavljeni [22. veljače 2019.].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Uredbu (EU) 2019/124 trebalo bi na odgovarajući način izmijeniti.</w:t>
      </w:r>
    </w:p>
    <w:p>
      <w:pPr>
        <w:pStyle w:val="ManualConsidrant"/>
        <w:rPr>
          <w:noProof/>
          <w:szCs w:val="24"/>
        </w:rPr>
      </w:pPr>
      <w:r>
        <w:t>(6)</w:t>
      </w:r>
      <w:r>
        <w:tab/>
      </w:r>
      <w:r>
        <w:rPr>
          <w:noProof/>
        </w:rPr>
        <w:t>Ograničenja ulova predviđena Uredbom (EU) 2019/124 primjenjuju se od 1. siječnja 2019. Stoga bi se i odredbe uvedene ovom uredbom o izmjeni koje se odnose na ograničenja ulova trebale primjenjivati od tog datuma. Takvom retroaktivnom primjenom ne dovode se u pitanje načela pravne sigurnosti i zaštite opravdanih očekivanja jer dotične ribolovne mogućnosti još nisu iscrpljene,</w:t>
      </w:r>
    </w:p>
    <w:p>
      <w:pPr>
        <w:pStyle w:val="ManualConsidrant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DONIJELO JE OVU UREDBU:</w:t>
      </w:r>
    </w:p>
    <w:p>
      <w:pPr>
        <w:pStyle w:val="Titrearticle"/>
        <w:rPr>
          <w:noProof/>
        </w:rPr>
      </w:pPr>
      <w:r>
        <w:rPr>
          <w:noProof/>
        </w:rPr>
        <w:t>Članak 1.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Prilozi I.A, I.H i VII. Uredbi (EU) 2019/124 mijenjaju se u skladu s Prilogom ovoj Uredbi.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Članak 2.</w:t>
      </w:r>
    </w:p>
    <w:p>
      <w:pPr>
        <w:rPr>
          <w:noProof/>
        </w:rPr>
      </w:pPr>
      <w:r>
        <w:rPr>
          <w:noProof/>
        </w:rPr>
        <w:t xml:space="preserve">Ova Uredba stupa na snagu sljedećeg dana od dana objave u </w:t>
      </w:r>
      <w:r>
        <w:rPr>
          <w:i/>
          <w:noProof/>
        </w:rPr>
        <w:t>Službenom listu Europske unije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Primjenjuje se od 1. siječnja 2019.</w:t>
      </w:r>
    </w:p>
    <w:p>
      <w:pPr>
        <w:pStyle w:val="Applicationdirecte"/>
        <w:rPr>
          <w:noProof/>
        </w:rPr>
      </w:pPr>
      <w:r>
        <w:rPr>
          <w:noProof/>
        </w:rPr>
        <w:t>Ova je Uredba u cijelosti obvezujuća i izravno se primjenjuje u svim državama članicama.</w:t>
      </w:r>
    </w:p>
    <w:p>
      <w:pPr>
        <w:pStyle w:val="Fait"/>
        <w:rPr>
          <w:noProof/>
        </w:rPr>
      </w:pPr>
      <w:r>
        <w:t>Sastavljeno u Bruxellesu,</w:t>
      </w:r>
    </w:p>
    <w:p>
      <w:pPr>
        <w:pStyle w:val="Institutionquisigne"/>
        <w:rPr>
          <w:noProof/>
        </w:rPr>
      </w:pPr>
      <w:r>
        <w:rPr>
          <w:noProof/>
        </w:rPr>
        <w:tab/>
        <w:t>Za Vijeće</w:t>
      </w:r>
    </w:p>
    <w:p>
      <w:pPr>
        <w:pStyle w:val="Personnequisigne"/>
        <w:rPr>
          <w:noProof/>
        </w:rPr>
      </w:pPr>
      <w:r>
        <w:rPr>
          <w:noProof/>
        </w:rPr>
        <w:tab/>
        <w:t>Predsjednik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Uredba Vijeća (EU) 2019/124 od 30. siječnja 2019. o utvrđivanju ribolovnih mogućnosti za 2019. za određene riblje stokove i skupine ribljih stokova koje se primjenjuju u vodama Unije te, za ribarska plovila Unije, u određenim vodama izvan Unije (SL L 29, 31.1.2019., str. 1.).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82F9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CA667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7EF4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BC00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28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2EF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C25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4FE1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28 09:48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60B7DCE-C39E-4C81-B30E-CBC1ACD6010E"/>
    <w:docVar w:name="LW_COVERPAGE_TYPE" w:val="1"/>
    <w:docVar w:name="LW_CROSSREFERENCE" w:val="&lt;UNUSED&gt;"/>
    <w:docVar w:name="LW_DocType" w:val="COM"/>
    <w:docVar w:name="LW_EMISSION" w:val="4.3.2019."/>
    <w:docVar w:name="LW_EMISSION_ISODATE" w:val="2019-03-04"/>
    <w:docVar w:name="LW_EMISSION_LOCATION" w:val="BRX"/>
    <w:docVar w:name="LW_EMISSION_PREFIX" w:val="Bruxelles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68"/>
    <w:docVar w:name="LW_REF.II.NEW.CP_YEAR" w:val="2019"/>
    <w:docVar w:name="LW_REF.INST.NEW" w:val="COM"/>
    <w:docVar w:name="LW_REF.INST.NEW_ADOPTED" w:val="final"/>
    <w:docVar w:name="LW_REF.INST.NEW_TEXT" w:val="(2019) 1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ijedlog"/>
    <w:docVar w:name="LW_SUPERTITRE" w:val="&lt;UNUSED&gt;"/>
    <w:docVar w:name="LW_TITRE.OBJ.CP" w:val="o izmjeni Uredbe (EU) 2019/124 u pogledu odre\u273?enih ribolovnih mogu\u263?nosti"/>
    <w:docVar w:name="LW_TYPE.DOC.CP" w:val="UREDBE VIJE\u262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5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023F-552B-43C4-9FA4-68D9036D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5</Pages>
  <Words>737</Words>
  <Characters>4285</Characters>
  <Application>Microsoft Office Word</Application>
  <DocSecurity>0</DocSecurity>
  <Lines>102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2017-02-27T10:10:00Z</cp:lastPrinted>
  <dcterms:created xsi:type="dcterms:W3CDTF">2019-02-21T09:02:00Z</dcterms:created>
  <dcterms:modified xsi:type="dcterms:W3CDTF">2019-02-28T08:48:00Z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