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020BF4-3FAA-45AB-9BF2-5E9B932C3735"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autoSpaceDE w:val="0"/>
        <w:autoSpaceDN w:val="0"/>
        <w:adjustRightInd w:val="0"/>
        <w:spacing w:before="0" w:after="0"/>
        <w:rPr>
          <w:rFonts w:ascii="TimesNewRomanPSMT" w:hAnsi="TimesNewRomanPSMT" w:cs="TimesNewRomanPSMT"/>
          <w:noProof/>
          <w:szCs w:val="24"/>
        </w:rPr>
      </w:pPr>
      <w:r>
        <w:rPr>
          <w:noProof/>
        </w:rPr>
        <w:t>Prezenta propunere se referă la o decizie de stabilire a poziției care urmează să fie adoptată în numele Uniunii în cadrul reuniunilor Comisiei pentru pescuit în Atlanticul de Nord-Est (NEAFC) pentru perioada 2019-2023, în legătură cu adoptarea preconizată a măsurilor de conservare și gestionare.</w:t>
      </w:r>
    </w:p>
    <w:p>
      <w:pPr>
        <w:pStyle w:val="ManualHeading1"/>
        <w:rPr>
          <w:noProof/>
        </w:rPr>
      </w:pPr>
      <w:r>
        <w:t>2.</w:t>
      </w:r>
      <w:r>
        <w:tab/>
      </w:r>
      <w:r>
        <w:rPr>
          <w:noProof/>
        </w:rPr>
        <w:t>Contextul propunerii</w:t>
      </w:r>
    </w:p>
    <w:p>
      <w:pPr>
        <w:pStyle w:val="ManualHeading2"/>
        <w:rPr>
          <w:noProof/>
        </w:rPr>
      </w:pPr>
      <w:r>
        <w:t>2.1.</w:t>
      </w:r>
      <w:r>
        <w:tab/>
      </w:r>
      <w:r>
        <w:rPr>
          <w:noProof/>
        </w:rPr>
        <w:t>Convenția privind viitoarea cooperare multilaterală pentru pescuit în Atlanticul de Nord-Est</w:t>
      </w:r>
    </w:p>
    <w:p>
      <w:pPr>
        <w:rPr>
          <w:noProof/>
        </w:rPr>
      </w:pPr>
      <w:r>
        <w:rPr>
          <w:noProof/>
        </w:rPr>
        <w:t>Convenția privind viitoarea cooperare multilaterală pentru pescuit în Atlanticul de Nord-Est (Convenția NEAFC) urmărește, prin instituirea NEAFC, să asigure conservarea pe termen lung și utilizarea optimă a resurselor piscicole din zona convenției („zona reglementată”). Convenția a intrat în vigoare la 17 martie 1982 și a fost modificată în 2004 și în 2006. Cu toate că modificările din 2004 și 2006 au intrat în vigoare în mod oficial la 29 octombrie 2013, s-a convenit (în conformitate cu Declarația de la Londra) că acestea ar trebui puse în aplicare cu titlu provizoriu de la adoptarea lor.</w:t>
      </w:r>
    </w:p>
    <w:p>
      <w:pPr>
        <w:rPr>
          <w:noProof/>
        </w:rPr>
      </w:pPr>
      <w:r>
        <w:rPr>
          <w:noProof/>
        </w:rPr>
        <w:t>Uniunea este parte la convenția NEAFC, deoarece a ratificat convenția în temeiul Deciziei 81/608/CEE a Consiliului</w:t>
      </w:r>
      <w:r>
        <w:rPr>
          <w:rStyle w:val="FootnoteReference"/>
          <w:noProof/>
        </w:rPr>
        <w:footnoteReference w:id="1"/>
      </w:r>
      <w:r>
        <w:rPr>
          <w:noProof/>
        </w:rPr>
        <w:t>. Modificările din 2004 și 2006 au fost aprobate prin Decizia 2009/550/CE a Consiliului</w:t>
      </w:r>
      <w:r>
        <w:rPr>
          <w:rStyle w:val="FootnoteReference"/>
          <w:noProof/>
        </w:rPr>
        <w:footnoteReference w:id="2"/>
      </w:r>
      <w:r>
        <w:rPr>
          <w:noProof/>
        </w:rPr>
        <w:t>.</w:t>
      </w:r>
    </w:p>
    <w:p>
      <w:pPr>
        <w:pStyle w:val="ManualHeading2"/>
        <w:rPr>
          <w:noProof/>
        </w:rPr>
      </w:pPr>
      <w:r>
        <w:t>2.2.</w:t>
      </w:r>
      <w:r>
        <w:tab/>
      </w:r>
      <w:r>
        <w:rPr>
          <w:noProof/>
        </w:rPr>
        <w:t>Comisia pentru Pescuit în Atlanticul de Nord-Est</w:t>
      </w:r>
    </w:p>
    <w:p>
      <w:pPr>
        <w:rPr>
          <w:noProof/>
        </w:rPr>
      </w:pPr>
      <w:r>
        <w:rPr>
          <w:noProof/>
        </w:rPr>
        <w:t>NEAFC este organismul instituit prin convenția NEAFC, care este responsabil pentru gestionarea și conservarea resurselor piscicole din zona reglementată. NEAFC adoptă măsuri de conservare și gestionare pentru a atinge o utilizare optimă a resursele piscicole care intră în domeniul său de competență.</w:t>
      </w:r>
    </w:p>
    <w:p>
      <w:pPr>
        <w:rPr>
          <w:rFonts w:eastAsia="Arial Unicode MS"/>
          <w:noProof/>
        </w:rPr>
      </w:pPr>
      <w:r>
        <w:rPr>
          <w:noProof/>
        </w:rPr>
        <w:t>În calitate de membru al NEAFC, Uniunea are drepturi de participare și de vot. NEAFC își adoptă deciziile cu o majoritate de două treimi din voturi.</w:t>
      </w:r>
    </w:p>
    <w:p>
      <w:pPr>
        <w:pStyle w:val="ManualHeading2"/>
        <w:rPr>
          <w:noProof/>
        </w:rPr>
      </w:pPr>
      <w:r>
        <w:t>2.3.</w:t>
      </w:r>
      <w:r>
        <w:tab/>
      </w:r>
      <w:r>
        <w:rPr>
          <w:noProof/>
        </w:rPr>
        <w:t xml:space="preserve">Deciziile NEAFC </w:t>
      </w:r>
    </w:p>
    <w:p>
      <w:pPr>
        <w:rPr>
          <w:rFonts w:eastAsia="Arial Unicode MS"/>
          <w:noProof/>
        </w:rPr>
      </w:pPr>
      <w:r>
        <w:rPr>
          <w:noProof/>
        </w:rPr>
        <w:t>NEAFC are autoritatea de a adopta măsuri de conservare și de gestionare pentru pescăriile din sfera sa de competență, măsuri care sunt obligatorii pentru părțile contractante.</w:t>
      </w:r>
    </w:p>
    <w:p>
      <w:pPr>
        <w:rPr>
          <w:noProof/>
        </w:rPr>
      </w:pPr>
      <w:r>
        <w:rPr>
          <w:noProof/>
        </w:rPr>
        <w:t>În conformitate cu articolul 12 alineatele (1) și (2) din convenția NEAFC, măsurile intră în vigoare în 80 de zile de la data la care sunt notificate de către NEAFC părților contractante. Pentru părțile contractante care se opun unei măsuri în termen de 50 de zile de la data notificării, măsura respectivă nu are caracter obligatoriu. În cazul în care mai mult de o treime din părțile contractante depun o obiecție, celelalte părți contractante nu sunt obligate să pună în aplicare măsura contestată.</w:t>
      </w:r>
    </w:p>
    <w:p>
      <w:pPr>
        <w:pStyle w:val="ManualHeading1"/>
        <w:rPr>
          <w:rFonts w:eastAsia="Arial Unicode MS"/>
          <w:noProof/>
        </w:rPr>
      </w:pPr>
      <w:r>
        <w:lastRenderedPageBreak/>
        <w:t>3.</w:t>
      </w:r>
      <w:r>
        <w:tab/>
      </w:r>
      <w:r>
        <w:rPr>
          <w:noProof/>
        </w:rPr>
        <w:t>Poziția care urmează să fie adoptată în numele Uniunii</w:t>
      </w:r>
    </w:p>
    <w:p>
      <w:pPr>
        <w:rPr>
          <w:rFonts w:eastAsia="Times New Roman"/>
          <w:noProof/>
        </w:rPr>
      </w:pPr>
      <w:r>
        <w:rPr>
          <w:noProof/>
        </w:rPr>
        <w:t>Poziția care urmează să fie adoptată în numele Uniunii în cadrul reuniunilor anuale ale organizațiilor regionale de gestionare a pescuitului (ORGP) este în prezent stabilită în conformitate cu o abordare pe două niveluri. O decizie a Consiliului stabilește, pe o bază multianuală, principiile directoare și orientările în ceea ce privește poziția Uniunii, iar aceasta este apoi ajustată, pentru fiecare reuniune anuală, prin documente neoficiale ale Comisiei care sunt discutate în cadrul grupului de lucru al Consiliului.</w:t>
      </w:r>
    </w:p>
    <w:p>
      <w:pPr>
        <w:rPr>
          <w:rFonts w:eastAsia="Times New Roman"/>
          <w:noProof/>
        </w:rPr>
      </w:pPr>
      <w:r>
        <w:rPr>
          <w:noProof/>
        </w:rPr>
        <w:t>În ceea ce privește NEAFC, această abordare este pusă în aplicare prin Decizia 9451/1/14 REV 1 a Consiliului din 19 mai 2014, care stabilește poziția Uniunii în cadrul NEAFC pentru perioada 2014-2018. Decizia conține principii și orientări generale, dar ia în considerare, de asemenea, în măsura posibilului, particularitățile NEAFC. În plus, decizia stabilește procesul standard pentru stabilirea poziției Uniunii an de an, conform solicitării statelor membre.</w:t>
      </w:r>
    </w:p>
    <w:p>
      <w:pPr>
        <w:rPr>
          <w:rFonts w:eastAsia="Times New Roman"/>
          <w:noProof/>
        </w:rPr>
      </w:pPr>
      <w:r>
        <w:rPr>
          <w:noProof/>
        </w:rPr>
        <w:t>Decizia 9451/1/14 REV 1 prevede o revizuire a poziției Uniunii înainte de reuniunea anuală din 2019. Prin urmare, prezenta propunere stabilește poziția Uniunii în cadrul NEAFC pentru perioada 2019-2023, înlocuind astfel Decizia 9451/1/14 REV 1.</w:t>
      </w:r>
    </w:p>
    <w:p>
      <w:pPr>
        <w:rPr>
          <w:rFonts w:eastAsia="Times New Roman"/>
          <w:noProof/>
        </w:rPr>
      </w:pPr>
      <w:r>
        <w:rPr>
          <w:noProof/>
        </w:rPr>
        <w:t>Decizia 9451/1/14 REV 1 a încorporat principiile și orientările noii politici comune în domeniul pescuitului (PCP), astfel cum au fost stabilite în Regulamentul (UE) nr. 1380/2013 al Parlamentului European și al Consiliului</w:t>
      </w:r>
      <w:r>
        <w:rPr>
          <w:rStyle w:val="FootnoteReference"/>
          <w:noProof/>
        </w:rPr>
        <w:footnoteReference w:id="3"/>
      </w:r>
      <w:r>
        <w:rPr>
          <w:noProof/>
        </w:rPr>
        <w:t>, ținând cont, de asemenea, de obiectivele stabilite în Comunicarea Comisiei privind dimensiunea externă a PCP</w:t>
      </w:r>
      <w:r>
        <w:rPr>
          <w:rStyle w:val="FootnoteReference"/>
          <w:noProof/>
        </w:rPr>
        <w:footnoteReference w:id="4"/>
      </w:r>
      <w:r>
        <w:rPr>
          <w:noProof/>
        </w:rPr>
        <w:t>. În plus, aceasta a adaptat poziția Uniunii la Tratatul de la Lisabona.</w:t>
      </w:r>
    </w:p>
    <w:p>
      <w:pPr>
        <w:rPr>
          <w:noProof/>
        </w:rPr>
      </w:pPr>
      <w:r>
        <w:rPr>
          <w:noProof/>
        </w:rPr>
        <w:t xml:space="preserve">Revizuirea actuală ia în considerare, în legătură cu impactul pescuitului, Comunicarea Comisiei către Parlamentul European, Consiliu, Comitetul Economic și Social European și Comitetul Regiunilor intitulată </w:t>
      </w:r>
      <w:r>
        <w:rPr>
          <w:i/>
          <w:noProof/>
        </w:rPr>
        <w:t>O strategie europeană pentru materialele plastice într-o economie circulară</w:t>
      </w:r>
      <w:r>
        <w:rPr>
          <w:rStyle w:val="FootnoteReference"/>
          <w:noProof/>
        </w:rPr>
        <w:footnoteReference w:id="5"/>
      </w:r>
      <w:r>
        <w:rPr>
          <w:noProof/>
        </w:rPr>
        <w:t xml:space="preserve">, Comunicarea comună a Înaltului Reprezentant al Uniunii pentru afaceri externe și politica de securitate și a Comisiei intitulată </w:t>
      </w:r>
      <w:r>
        <w:rPr>
          <w:i/>
          <w:noProof/>
        </w:rPr>
        <w:t>Guvernanța internațională a oceanelor: o agendă pentru viitorul oceanelor noastre</w:t>
      </w:r>
      <w:r>
        <w:rPr>
          <w:rStyle w:val="FootnoteReference"/>
          <w:noProof/>
        </w:rPr>
        <w:footnoteReference w:id="6"/>
      </w:r>
      <w:r>
        <w:rPr>
          <w:noProof/>
        </w:rPr>
        <w:t>, precum și concluziile Consiliului privind respectiva comunicare comună</w:t>
      </w:r>
      <w:r>
        <w:rPr>
          <w:rStyle w:val="FootnoteReference"/>
          <w:noProof/>
        </w:rPr>
        <w:footnoteReference w:id="7"/>
      </w:r>
      <w:r>
        <w:rPr>
          <w:noProof/>
        </w:rPr>
        <w:t>.</w:t>
      </w:r>
    </w:p>
    <w:p>
      <w:pPr>
        <w:pStyle w:val="ManualHeading1"/>
        <w:rPr>
          <w:noProof/>
        </w:rPr>
      </w:pPr>
      <w:r>
        <w:t>4.</w:t>
      </w:r>
      <w:r>
        <w:tab/>
      </w:r>
      <w:r>
        <w:rPr>
          <w:noProof/>
        </w:rPr>
        <w:t>Temei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„a pozițiilor care trebuie adoptate în numele Uniunii în cadrul unui organism creat printr-un acord, în cazul în care acest organism trebuie să adopte acte cu efecte juridice, cu excepția actelor care modifică sau completează cadrul instituțional al acordului”.</w:t>
      </w:r>
    </w:p>
    <w:p>
      <w:pPr>
        <w:rPr>
          <w:noProof/>
        </w:rPr>
      </w:pPr>
      <w:r>
        <w:rPr>
          <w:noProof/>
        </w:rPr>
        <w:t xml:space="preserve">„Actele cu efecte juridice” includ actele care au efecte juridice în temeiul normelor de drept internațional care reglementează organismul în cauză, precum și instrumentele care nu au un </w:t>
      </w:r>
      <w:r>
        <w:rPr>
          <w:noProof/>
        </w:rPr>
        <w:lastRenderedPageBreak/>
        <w:t>caracter obligatoriu în temeiul dreptului internațional, dar care „au vocația de a influența în mod decisiv conținutul reglementării adoptate de legiuitorul Uniunii</w:t>
      </w:r>
      <w:r>
        <w:rPr>
          <w:rStyle w:val="FootnoteReference"/>
          <w:noProof/>
        </w:rPr>
        <w:footnoteReference w:id="8"/>
      </w:r>
      <w:r>
        <w:rPr>
          <w:noProof/>
        </w:rPr>
        <w:t>”.</w:t>
      </w:r>
    </w:p>
    <w:p>
      <w:pPr>
        <w:pStyle w:val="ManualHeading3"/>
        <w:rPr>
          <w:noProof/>
        </w:rPr>
      </w:pPr>
      <w:r>
        <w:t>4.1.2.</w:t>
      </w:r>
      <w:r>
        <w:tab/>
      </w:r>
      <w:r>
        <w:rPr>
          <w:noProof/>
        </w:rPr>
        <w:t>Aplicarea la cazul în discuție</w:t>
      </w:r>
    </w:p>
    <w:p>
      <w:pPr>
        <w:rPr>
          <w:noProof/>
        </w:rPr>
      </w:pPr>
      <w:r>
        <w:rPr>
          <w:noProof/>
        </w:rPr>
        <w:t>NEAFC este un organism creat printr-un acord, și anume convenția NEAFC.</w:t>
      </w:r>
    </w:p>
    <w:p>
      <w:pPr>
        <w:rPr>
          <w:noProof/>
        </w:rPr>
      </w:pPr>
      <w:r>
        <w:rPr>
          <w:noProof/>
        </w:rPr>
        <w:t>Actele pe care trebuie să le adopte NEAFC sunt acte cu efecte juridice. Actele vizate sunt obligatorii în temeiul dreptului internațional, în conformitate cu articolul 12 din convenția NEAFC, și pot influența în mod decisiv conținutul legislației UE, inclusiv:</w:t>
      </w:r>
    </w:p>
    <w:p>
      <w:pPr>
        <w:pStyle w:val="Bullet0"/>
        <w:numPr>
          <w:ilvl w:val="0"/>
          <w:numId w:val="12"/>
        </w:numPr>
        <w:rPr>
          <w:noProof/>
        </w:rPr>
      </w:pPr>
      <w:r>
        <w:rPr>
          <w:noProof/>
        </w:rPr>
        <w:t>Regulamentul (CE) nr. 1005/2008 al Consiliului de instituire a unui sistem comunitar pentru prevenirea, descurajarea și eliminarea pescuitului ilegal, nedeclarat și nereglementat</w:t>
      </w:r>
      <w:r>
        <w:rPr>
          <w:rStyle w:val="FootnoteReference"/>
          <w:noProof/>
        </w:rPr>
        <w:footnoteReference w:id="9"/>
      </w:r>
      <w:r>
        <w:rPr>
          <w:noProof/>
        </w:rPr>
        <w:t xml:space="preserve">; </w:t>
      </w:r>
    </w:p>
    <w:p>
      <w:pPr>
        <w:pStyle w:val="Bullet0"/>
        <w:rPr>
          <w:noProof/>
        </w:rPr>
      </w:pPr>
      <w:r>
        <w:rPr>
          <w:noProof/>
        </w:rPr>
        <w:t>Regulamentul (CE) nr. 1224/2009 al Consiliului de stabilire a unui sistem comunitar de control pentru asigurarea respectării normelor politicii comune în domeniul pescuitului</w:t>
      </w:r>
      <w:r>
        <w:rPr>
          <w:rStyle w:val="FootnoteReference"/>
          <w:noProof/>
        </w:rPr>
        <w:footnoteReference w:id="10"/>
      </w:r>
      <w:r>
        <w:rPr>
          <w:noProof/>
        </w:rPr>
        <w:t xml:space="preserve">; și </w:t>
      </w:r>
    </w:p>
    <w:p>
      <w:pPr>
        <w:pStyle w:val="Bullet0"/>
        <w:rPr>
          <w:noProof/>
        </w:rPr>
      </w:pPr>
      <w:r>
        <w:rPr>
          <w:noProof/>
        </w:rPr>
        <w:t>Regulamentul (UE) 2017/2403 al Parlamentului European și al Consiliului din 12 decembrie 2017 privind gestionarea sustenabilă a flotelor de pescuit externe</w:t>
      </w:r>
      <w:r>
        <w:rPr>
          <w:rStyle w:val="FootnoteReference"/>
          <w:noProof/>
        </w:rPr>
        <w:footnoteReference w:id="11"/>
      </w:r>
      <w:r>
        <w:rPr>
          <w:noProof/>
        </w:rPr>
        <w:t>.</w:t>
      </w:r>
    </w:p>
    <w:p>
      <w:pPr>
        <w:rPr>
          <w:noProof/>
        </w:rPr>
      </w:pPr>
      <w:r>
        <w:rPr>
          <w:noProof/>
        </w:rPr>
        <w:t>Actele avute în vedere nu completează și nu modifică cadrul instituțional al convenției NEAFC.</w:t>
      </w:r>
    </w:p>
    <w:p>
      <w:pPr>
        <w:rPr>
          <w:noProof/>
        </w:rPr>
      </w:pPr>
      <w:r>
        <w:rPr>
          <w:noProof/>
        </w:rPr>
        <w:t>Prin urmare, temeiul juridic procedural al deciziei propuse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respectiv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t>4.2.2.</w:t>
      </w:r>
      <w:r>
        <w:tab/>
      </w:r>
      <w:r>
        <w:rPr>
          <w:noProof/>
        </w:rPr>
        <w:t>Aplicarea la cazul în discuție</w:t>
      </w:r>
    </w:p>
    <w:p>
      <w:pPr>
        <w:rPr>
          <w:noProof/>
        </w:rPr>
      </w:pPr>
      <w:r>
        <w:rPr>
          <w:noProof/>
        </w:rPr>
        <w:t>Obiectivul principal și conținutul actului avut în vedere se referă la pescuit. Regulamentul (UE) nr. 1380/2013 reprezintă temeiul juridic care stabilește principiile care trebuie să se reflecte în această poziție.</w:t>
      </w:r>
    </w:p>
    <w:p>
      <w:pPr>
        <w:rPr>
          <w:noProof/>
        </w:rPr>
      </w:pPr>
      <w:r>
        <w:rPr>
          <w:noProof/>
        </w:rPr>
        <w:t>Prin urmare, temeiul juridic material al deciziei propuse este articolul 43 alineatul (2) din TFUE. Decizia urmează să înlocuiască Decizia 9451/1/14 REV 1, care acoperă perioada 2014-2018.</w:t>
      </w:r>
    </w:p>
    <w:p>
      <w:pPr>
        <w:pStyle w:val="ManualHeading2"/>
        <w:rPr>
          <w:noProof/>
        </w:rPr>
      </w:pPr>
      <w:r>
        <w:lastRenderedPageBreak/>
        <w:t>4.3.</w:t>
      </w:r>
      <w:r>
        <w:tab/>
      </w:r>
      <w:r>
        <w:rPr>
          <w:noProof/>
        </w:rPr>
        <w:t>Concluzie</w:t>
      </w:r>
    </w:p>
    <w:p>
      <w:pPr>
        <w:rPr>
          <w:noProof/>
        </w:rPr>
      </w:pPr>
      <w:r>
        <w:rPr>
          <w:noProof/>
        </w:rPr>
        <w:t>Temeiul juridic al deciziei propuse ar trebui să fie articolul 43 alineatul (2) din TFUE, coroborat cu articolul 218 alineatul (9) din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2019/0054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Comisiei pentru pescuit în Atlanticul de Nord-Est și de abrogare a Deciziei 9451/1/14 REV 1</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43 alineatul (2), coroborat cu articolul 218 alineatul (9),</w:t>
      </w:r>
    </w:p>
    <w:p>
      <w:pPr>
        <w:rPr>
          <w:noProof/>
        </w:rPr>
      </w:pPr>
      <w:r>
        <w:rPr>
          <w:noProof/>
        </w:rPr>
        <w:t>având în vedere propunerea Comisiei Europene,</w:t>
      </w:r>
    </w:p>
    <w:p>
      <w:pPr>
        <w:rPr>
          <w:noProof/>
        </w:rPr>
      </w:pPr>
      <w:r>
        <w:rPr>
          <w:noProof/>
        </w:rPr>
        <w:t>întrucât:</w:t>
      </w:r>
    </w:p>
    <w:p>
      <w:pPr>
        <w:pStyle w:val="ManualConsidrant"/>
        <w:rPr>
          <w:rFonts w:eastAsia="Times New Roman"/>
          <w:noProof/>
          <w:szCs w:val="20"/>
        </w:rPr>
      </w:pPr>
      <w:r>
        <w:t>(1)</w:t>
      </w:r>
      <w:r>
        <w:tab/>
      </w:r>
      <w:r>
        <w:rPr>
          <w:noProof/>
        </w:rPr>
        <w:t>Prin Decizia 81/608/CEE a Consiliului din 13 iulie 1981</w:t>
      </w:r>
      <w:r>
        <w:rPr>
          <w:rStyle w:val="FootnoteReference"/>
          <w:noProof/>
        </w:rPr>
        <w:footnoteReference w:id="12"/>
      </w:r>
      <w:r>
        <w:rPr>
          <w:noProof/>
        </w:rPr>
        <w:t>, Uniunea a încheiat convenția NEAFC, care a instituit Comisia pentru pescuit în Atlanticul de Nord-Est (NEAFC). Modificările din 2004 și 2006 aduse convenției NEAFC au fost aprobate prin Decizia 2009/550/CE a Consiliului din 5 martie 2009</w:t>
      </w:r>
      <w:r>
        <w:rPr>
          <w:rStyle w:val="FootnoteReference"/>
          <w:noProof/>
        </w:rPr>
        <w:footnoteReference w:id="13"/>
      </w:r>
      <w:r>
        <w:rPr>
          <w:noProof/>
        </w:rPr>
        <w:t>. Modificările au intrat oficial în vigoare la 29 octombrie 2013, deși, în conformitate cu Declarația de la Londra, s-a convenit ca modificările să fie puse în aplicare cu titlu provizoriu încă de la adoptare, până la intrarea lor în vigoare.</w:t>
      </w:r>
    </w:p>
    <w:p>
      <w:pPr>
        <w:pStyle w:val="ManualConsidrant"/>
        <w:rPr>
          <w:noProof/>
        </w:rPr>
      </w:pPr>
      <w:r>
        <w:t>(2)</w:t>
      </w:r>
      <w:r>
        <w:tab/>
      </w:r>
      <w:r>
        <w:rPr>
          <w:noProof/>
        </w:rPr>
        <w:t>NEAFC este responsabilă cu adoptarea măsurilor destinate să asigure conservarea pe termen lung și utilizarea optimă a resurselor piscicole din zona convenției NEAFC („zona reglementată”). Aceste măsuri ar putea deveni obligatorii pentru Uniune.</w:t>
      </w:r>
    </w:p>
    <w:p>
      <w:pPr>
        <w:pStyle w:val="ManualConsidrant"/>
        <w:rPr>
          <w:noProof/>
        </w:rPr>
      </w:pPr>
      <w:r>
        <w:t>(3)</w:t>
      </w:r>
      <w:r>
        <w:tab/>
      </w:r>
      <w:r>
        <w:rPr>
          <w:noProof/>
        </w:rPr>
        <w:t>Regulamentul (UE) nr. 1380/2013 al Parlamentului European și al Consiliului</w:t>
      </w:r>
      <w:r>
        <w:rPr>
          <w:rStyle w:val="FootnoteReference"/>
          <w:noProof/>
        </w:rPr>
        <w:footnoteReference w:id="14"/>
      </w:r>
      <w:r>
        <w:rPr>
          <w:noProof/>
        </w:rPr>
        <w:t xml:space="preserve"> prevede că Uniunea trebuie să garanteze faptul că activitățile de pescuit și de acvacultură sunt sustenabile din punct de vedere al mediului pe termen lung și sunt gestionate într-un mod coerent cu obiectivele de a realiza beneficii economice, sociale și de ocupare a forței de muncă și de a contribui la securitatea aprovizionării cu alimente. De asemenea, regulamentul prevede că Uniunea trebuie să aplice o abordare precaută a gestionării pescuitului și trebuie să garanteze că exploatarea resurselor biologice marine vii duce la refacerea și menținerea populațiilor de specii recoltate peste nivelurile care permit obținerea producției maxime durabile. Acesta prevede, de asemenea, că Uniunea trebuie să ia măsuri de gestionare și de conservare pe baza celor mai bune avize științifice disponibile, să susțină dezvoltarea cunoștințelor și a avizelor științifice, să elimine treptat practicile de aruncare înapoi în mare a capturilor și să promoveze metode de pescuit care contribuie la un pescuit mai selectiv și evitarea și reducerea, în măsura posibilului, a capturilor nedorite, precum și să utilizeze metode </w:t>
      </w:r>
      <w:r>
        <w:rPr>
          <w:noProof/>
        </w:rPr>
        <w:lastRenderedPageBreak/>
        <w:t>de pescuit cu impact scăzut asupra ecosistemului marin și a resurselor piscicole. În plus, Regulamentul (UE) nr. 1380/2013 prevede în mod expres că obiectivele și principiile respective trebuie să fie aplicate de Uniune în relațiile sale externe din domeniul pescuitului.</w:t>
      </w:r>
    </w:p>
    <w:p>
      <w:pPr>
        <w:pStyle w:val="ManualConsidrant"/>
        <w:rPr>
          <w:noProof/>
        </w:rPr>
      </w:pPr>
      <w:r>
        <w:t>(4)</w:t>
      </w:r>
      <w:r>
        <w:tab/>
      </w:r>
      <w:r>
        <w:rPr>
          <w:noProof/>
        </w:rPr>
        <w:t xml:space="preserve">În conformitate cu Comunicarea comună a Înaltului Reprezentant al Uniunii pentru afaceri externe și politica de securitate și a Comisiei Europene intitulată </w:t>
      </w:r>
      <w:r>
        <w:rPr>
          <w:i/>
          <w:noProof/>
        </w:rPr>
        <w:t>Guvernanța internațională a oceanelor: o agendă pentru viitorul oceanelor noastre</w:t>
      </w:r>
      <w:r>
        <w:rPr>
          <w:rStyle w:val="FootnoteReference"/>
          <w:noProof/>
        </w:rPr>
        <w:footnoteReference w:id="15"/>
      </w:r>
      <w:r>
        <w:rPr>
          <w:noProof/>
        </w:rPr>
        <w:t xml:space="preserve"> și cu concluziile Consiliului referitoare la comunicarea comună respectivă</w:t>
      </w:r>
      <w:r>
        <w:rPr>
          <w:rStyle w:val="FootnoteReference"/>
          <w:noProof/>
        </w:rPr>
        <w:footnoteReference w:id="16"/>
      </w:r>
      <w:r>
        <w:rPr>
          <w:noProof/>
        </w:rPr>
        <w:t>, promovarea măsurilor de susținere și de sporire a eficacității organizațiilor regionale de gestionare a pescuitului (ORGP) și, după caz, îmbunătățirea guvernanței acestora sunt esențiale pentru acțiunea Uniunii în cadrul acestor foruri.</w:t>
      </w:r>
    </w:p>
    <w:p>
      <w:pPr>
        <w:pStyle w:val="ManualConsidrant"/>
        <w:rPr>
          <w:noProof/>
        </w:rPr>
      </w:pPr>
      <w:r>
        <w:t>(5)</w:t>
      </w:r>
      <w:r>
        <w:tab/>
      </w:r>
      <w:r>
        <w:rPr>
          <w:noProof/>
        </w:rPr>
        <w:t xml:space="preserve">Comunicarea Comisiei către Parlamentul European, Consiliu, Comitetul Economic și Social European și Comitetul Regiunilor intitulată </w:t>
      </w:r>
      <w:r>
        <w:rPr>
          <w:i/>
          <w:noProof/>
        </w:rPr>
        <w:t>O strategie europeană pentru materialele plastice într-o economie circulară</w:t>
      </w:r>
      <w:r>
        <w:rPr>
          <w:rStyle w:val="FootnoteReference"/>
          <w:noProof/>
        </w:rPr>
        <w:footnoteReference w:id="17"/>
      </w:r>
      <w:r>
        <w:rPr>
          <w:noProof/>
        </w:rPr>
        <w:t xml:space="preserve"> se referă la măsuri specifice de reducere a poluării cu materiale plastice și a poluării marine, precum și la pierderea sau abandonarea în larg a uneltelor de pescuit.</w:t>
      </w:r>
    </w:p>
    <w:p>
      <w:pPr>
        <w:pStyle w:val="ManualConsidrant"/>
        <w:rPr>
          <w:noProof/>
        </w:rPr>
      </w:pPr>
      <w:r>
        <w:t>(6)</w:t>
      </w:r>
      <w:r>
        <w:tab/>
      </w:r>
      <w:r>
        <w:rPr>
          <w:noProof/>
        </w:rPr>
        <w:t>Este adecvat să se stabilească poziția care urmează să fie adoptată în numele Uniunii în cadrul reuniunilor NEAFC pentru perioada 2019-2023 și să se abroge decizia Consiliului, întrucât măsurile de conservare și executare adoptate de NEAFC vor fi obligatorii pentru Uniune și vor putea influența în mod decisiv conținutul legislației Uniunii, și anume Regulamentul (CE) nr. 1005/2008 al Consiliului</w:t>
      </w:r>
      <w:r>
        <w:rPr>
          <w:rStyle w:val="FootnoteReference"/>
          <w:noProof/>
        </w:rPr>
        <w:footnoteReference w:id="18"/>
      </w:r>
      <w:r>
        <w:rPr>
          <w:noProof/>
        </w:rPr>
        <w:t>; Regulamentul (CE) nr 1224/2009 al Consiliului</w:t>
      </w:r>
      <w:r>
        <w:rPr>
          <w:rStyle w:val="FootnoteReference"/>
          <w:noProof/>
        </w:rPr>
        <w:footnoteReference w:id="19"/>
      </w:r>
      <w:r>
        <w:rPr>
          <w:noProof/>
        </w:rPr>
        <w:t>; și Regulamentul (UE) 2017/2403 al Parlamentului European și al Consiliului</w:t>
      </w:r>
      <w:r>
        <w:rPr>
          <w:rStyle w:val="FootnoteReference"/>
          <w:noProof/>
        </w:rPr>
        <w:footnoteReference w:id="20"/>
      </w:r>
      <w:r>
        <w:rPr>
          <w:noProof/>
        </w:rPr>
        <w:t>.</w:t>
      </w:r>
    </w:p>
    <w:p>
      <w:pPr>
        <w:pStyle w:val="ManualConsidrant"/>
        <w:rPr>
          <w:noProof/>
        </w:rPr>
      </w:pPr>
      <w:r>
        <w:t>(7)</w:t>
      </w:r>
      <w:r>
        <w:tab/>
      </w:r>
      <w:r>
        <w:rPr>
          <w:noProof/>
        </w:rPr>
        <w:t>În prezent, poziția care urmează să fie adoptată în numele Uniunii în cadrul reuniunilor NEAFC este stabilită prin Decizia 9451/1/14 REV 1 a Consiliului</w:t>
      </w:r>
      <w:r>
        <w:rPr>
          <w:rStyle w:val="FootnoteReference"/>
          <w:noProof/>
        </w:rPr>
        <w:footnoteReference w:id="21"/>
      </w:r>
      <w:r>
        <w:rPr>
          <w:noProof/>
        </w:rPr>
        <w:t>. Este oportun să se abroge Decizia 9451/1/14 REV 1 și să fie înlocuită cu o nouă decizie pentru perioada 2019-2013.</w:t>
      </w:r>
    </w:p>
    <w:p>
      <w:pPr>
        <w:pStyle w:val="ManualConsidrant"/>
        <w:rPr>
          <w:noProof/>
        </w:rPr>
      </w:pPr>
      <w:r>
        <w:t>(8)</w:t>
      </w:r>
      <w:r>
        <w:tab/>
      </w:r>
      <w:r>
        <w:rPr>
          <w:noProof/>
        </w:rPr>
        <w:t xml:space="preserve">Având în vedere caracterul evolutiv al resurselor piscicole în zona reglementată și, prin urmare, necesitatea ca poziția Uniunii să țină seama de noile evoluții, inclusiv de noile informații științifice și de altă natură prezentate înainte sau în timpul reuniunilor NEAFC, ar trebuie stabilite proceduri, în conformitate cu principiul cooperării loiale dintre instituțiile Uniunii prevăzut la articolul 13 alineatul (2) din Tratatul privind </w:t>
      </w:r>
      <w:r>
        <w:rPr>
          <w:noProof/>
        </w:rPr>
        <w:lastRenderedPageBreak/>
        <w:t>Uniunea Europeană (TUE), pentru precizarea anuală a poziției Uniunii pentru perioada 2019-2023,</w:t>
      </w:r>
    </w:p>
    <w:p>
      <w:pPr>
        <w:pStyle w:val="Formuledadoption"/>
        <w:rPr>
          <w:noProof/>
        </w:rPr>
      </w:pPr>
      <w:r>
        <w:rPr>
          <w:noProof/>
        </w:rPr>
        <w:t>ADOPTĂ PREZENTA DECIZIE:</w:t>
      </w:r>
    </w:p>
    <w:p>
      <w:pPr>
        <w:pStyle w:val="Titrearticle"/>
        <w:rPr>
          <w:noProof/>
        </w:rPr>
      </w:pPr>
      <w:r>
        <w:rPr>
          <w:noProof/>
        </w:rPr>
        <w:t>Articolul 1</w:t>
      </w:r>
    </w:p>
    <w:p>
      <w:pPr>
        <w:autoSpaceDE w:val="0"/>
        <w:autoSpaceDN w:val="0"/>
        <w:adjustRightInd w:val="0"/>
        <w:spacing w:before="0" w:after="0"/>
        <w:rPr>
          <w:noProof/>
        </w:rPr>
      </w:pPr>
      <w:r>
        <w:rPr>
          <w:noProof/>
        </w:rPr>
        <w:t>Poziția care urmează să fie adoptată în numele Uniunii în cadrul reuniunilor Comisiei pentru pescuit în Atlanticul de Nord-Est (NEAFC) este stabilită în anexa I.</w:t>
      </w:r>
    </w:p>
    <w:p>
      <w:pPr>
        <w:pStyle w:val="Titrearticle"/>
        <w:rPr>
          <w:noProof/>
        </w:rPr>
      </w:pPr>
      <w:r>
        <w:rPr>
          <w:noProof/>
        </w:rPr>
        <w:t>Articolul 2</w:t>
      </w:r>
    </w:p>
    <w:p>
      <w:pPr>
        <w:autoSpaceDE w:val="0"/>
        <w:autoSpaceDN w:val="0"/>
        <w:adjustRightInd w:val="0"/>
        <w:spacing w:before="0" w:after="0"/>
        <w:rPr>
          <w:noProof/>
          <w:szCs w:val="24"/>
        </w:rPr>
      </w:pPr>
      <w:r>
        <w:rPr>
          <w:noProof/>
        </w:rPr>
        <w:t>Precizarea anuală a poziției pe care Uniunea urmează să o adopte în cadrul reuniunilor NEAFC se face în conformitate cu anexa II.</w:t>
      </w:r>
    </w:p>
    <w:p>
      <w:pPr>
        <w:pStyle w:val="Titrearticle"/>
        <w:rPr>
          <w:noProof/>
        </w:rPr>
      </w:pPr>
      <w:r>
        <w:rPr>
          <w:noProof/>
        </w:rPr>
        <w:t>Articolul 3</w:t>
      </w:r>
    </w:p>
    <w:p>
      <w:pPr>
        <w:rPr>
          <w:noProof/>
        </w:rPr>
      </w:pPr>
      <w:r>
        <w:rPr>
          <w:noProof/>
        </w:rPr>
        <w:t>Poziția Uniunii stabilită în anexa I este evaluată și, după caz, revizuită de către Consiliu la propunerea Comisiei cel târziu până la reuniunea anuală a NEAFC din 2024.</w:t>
      </w:r>
    </w:p>
    <w:p>
      <w:pPr>
        <w:pStyle w:val="Titrearticle"/>
        <w:rPr>
          <w:noProof/>
        </w:rPr>
      </w:pPr>
      <w:r>
        <w:rPr>
          <w:noProof/>
        </w:rPr>
        <w:t>Articolul 4</w:t>
      </w:r>
    </w:p>
    <w:p>
      <w:pPr>
        <w:autoSpaceDE w:val="0"/>
        <w:autoSpaceDN w:val="0"/>
        <w:adjustRightInd w:val="0"/>
        <w:spacing w:before="0" w:after="0"/>
        <w:rPr>
          <w:noProof/>
          <w:szCs w:val="24"/>
        </w:rPr>
      </w:pPr>
      <w:r>
        <w:rPr>
          <w:noProof/>
        </w:rPr>
        <w:t>Decizia 9451/1/14 REV 1 din 19 mai 2014 se abrogă.</w:t>
      </w:r>
    </w:p>
    <w:p>
      <w:pPr>
        <w:pStyle w:val="Titrearticle"/>
        <w:rPr>
          <w:noProof/>
        </w:rPr>
      </w:pPr>
      <w:r>
        <w:rPr>
          <w:noProof/>
        </w:rPr>
        <w:t>Articolul 5</w:t>
      </w:r>
    </w:p>
    <w:p>
      <w:pPr>
        <w:autoSpaceDE w:val="0"/>
        <w:autoSpaceDN w:val="0"/>
        <w:adjustRightInd w:val="0"/>
        <w:spacing w:before="0" w:after="0"/>
        <w:rPr>
          <w:noProof/>
          <w:szCs w:val="24"/>
        </w:rPr>
      </w:pPr>
      <w:r>
        <w:rPr>
          <w:noProof/>
        </w:rPr>
        <w:t>Prezenta decizie se adresează Comisiei.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81/608/CEE a Consiliului din 13 iulie 1981 privind încheierea Convenției privind viitoarea cooperare multilaterală pentru pescuit în Atlanticul de Nord-Est (JO L 227, 12.8.1981, p. 21).</w:t>
      </w:r>
    </w:p>
  </w:footnote>
  <w:footnote w:id="2">
    <w:p>
      <w:pPr>
        <w:pStyle w:val="FootnoteText"/>
      </w:pPr>
      <w:r>
        <w:rPr>
          <w:rStyle w:val="FootnoteReference"/>
        </w:rPr>
        <w:footnoteRef/>
      </w:r>
      <w:r>
        <w:tab/>
        <w:t>Decizia 2009/550/EC a Consiliului din 5 martie 2009 de aprobare a modificărilor la Convenția privind viitoarea cooperare multilaterală pentru pescuit în Atlanticul de Nord-Est pentru a permite stabilirea unei proceduri de soluționare a litigiilor, extinderea domeniului de aplicare a convenției și o reexaminare a obiectivelor acesteia (JO L 184, 16.7.2009, p. 12).</w:t>
      </w:r>
    </w:p>
  </w:footnote>
  <w:footnote w:id="3">
    <w:p>
      <w:pPr>
        <w:pStyle w:val="FootnoteText"/>
      </w:pPr>
      <w:r>
        <w:rPr>
          <w:rStyle w:val="FootnoteReference"/>
        </w:rPr>
        <w:footnoteRef/>
      </w:r>
      <w:r>
        <w:tab/>
        <w:t>Regulamentul (UE) nr. 1380/2013 al Parlamentului European și al Consiliului privind politica comună în domeniul pescuitului, de modificare a Regulamentelor (CE) nr. 1954/2003 și (CE) nr. 1224/2009 ale Consiliului și de abrogare a Regulamentelor (CE) nr. 2371/2002 și (CE) nr. 639/2004 ale Consiliului și a Deciziei 2004/585/CE a Consiliului (JO L 354, 28.12.2013, p. 22).</w:t>
      </w:r>
    </w:p>
  </w:footnote>
  <w:footnote w:id="4">
    <w:p>
      <w:pPr>
        <w:pStyle w:val="FootnoteText"/>
      </w:pPr>
      <w:r>
        <w:rPr>
          <w:rStyle w:val="FootnoteReference"/>
        </w:rPr>
        <w:footnoteRef/>
      </w:r>
      <w:r>
        <w:tab/>
        <w:t>COM(2011) 424, 13.7.2011.</w:t>
      </w:r>
    </w:p>
  </w:footnote>
  <w:footnote w:id="5">
    <w:p>
      <w:pPr>
        <w:pStyle w:val="FootnoteText"/>
      </w:pPr>
      <w:r>
        <w:rPr>
          <w:rStyle w:val="FootnoteReference"/>
        </w:rPr>
        <w:footnoteRef/>
      </w:r>
      <w:r>
        <w:tab/>
        <w:t>COM(2018) 28 final, 16.1.2018.</w:t>
      </w:r>
    </w:p>
  </w:footnote>
  <w:footnote w:id="6">
    <w:p>
      <w:pPr>
        <w:pStyle w:val="FootnoteText"/>
      </w:pPr>
      <w:r>
        <w:rPr>
          <w:rStyle w:val="FootnoteReference"/>
        </w:rPr>
        <w:footnoteRef/>
      </w:r>
      <w:r>
        <w:tab/>
        <w:t>JOIN(2016) 49 final, 10.11.2016.</w:t>
      </w:r>
    </w:p>
  </w:footnote>
  <w:footnote w:id="7">
    <w:p>
      <w:pPr>
        <w:pStyle w:val="FootnoteText"/>
      </w:pPr>
      <w:r>
        <w:rPr>
          <w:rStyle w:val="FootnoteReference"/>
        </w:rPr>
        <w:footnoteRef/>
      </w:r>
      <w:r>
        <w:tab/>
        <w:t>7348/1/17 REV 1, 24.3.2017.</w:t>
      </w:r>
    </w:p>
  </w:footnote>
  <w:footnote w:id="8">
    <w:p>
      <w:pPr>
        <w:pStyle w:val="FootnoteText"/>
      </w:pPr>
      <w:r>
        <w:rPr>
          <w:rStyle w:val="FootnoteReference"/>
        </w:rPr>
        <w:footnoteRef/>
      </w:r>
      <w:r>
        <w:tab/>
        <w:t xml:space="preserve">Hotărârea Curții de Justiție din 7 octombrie 2014, </w:t>
      </w:r>
      <w:r>
        <w:rPr>
          <w:i/>
        </w:rPr>
        <w:t>Germania</w:t>
      </w:r>
      <w:r>
        <w:t>/</w:t>
      </w:r>
      <w:r>
        <w:rPr>
          <w:i/>
        </w:rPr>
        <w:t>Consiliul</w:t>
      </w:r>
      <w:r>
        <w:t>, C-399/12, ECLI:EU:C:2014:2258, punctele 61-64.</w:t>
      </w:r>
    </w:p>
  </w:footnote>
  <w:footnote w:id="9">
    <w:p>
      <w:pPr>
        <w:pStyle w:val="FootnoteText"/>
      </w:pPr>
      <w:r>
        <w:rPr>
          <w:rStyle w:val="FootnoteReference"/>
        </w:rPr>
        <w:footnoteRef/>
      </w:r>
      <w:r>
        <w:tab/>
        <w:t>JO L 286, 29.10.2008, p. 1.</w:t>
      </w:r>
    </w:p>
  </w:footnote>
  <w:footnote w:id="10">
    <w:p>
      <w:pPr>
        <w:pStyle w:val="FootnoteText"/>
      </w:pPr>
      <w:r>
        <w:rPr>
          <w:rStyle w:val="FootnoteReference"/>
        </w:rPr>
        <w:footnoteRef/>
      </w:r>
      <w:r>
        <w:tab/>
        <w:t>JO L 343, 22.12.2009, p. 1.</w:t>
      </w:r>
    </w:p>
  </w:footnote>
  <w:footnote w:id="11">
    <w:p>
      <w:pPr>
        <w:pStyle w:val="FootnoteText"/>
      </w:pPr>
      <w:r>
        <w:rPr>
          <w:rStyle w:val="FootnoteReference"/>
        </w:rPr>
        <w:footnoteRef/>
      </w:r>
      <w:r>
        <w:tab/>
        <w:t>JO L 347, 28.12.2017, p. 81.</w:t>
      </w:r>
    </w:p>
  </w:footnote>
  <w:footnote w:id="12">
    <w:p>
      <w:pPr>
        <w:pStyle w:val="FootnoteText"/>
      </w:pPr>
      <w:r>
        <w:rPr>
          <w:rStyle w:val="FootnoteReference"/>
        </w:rPr>
        <w:footnoteRef/>
      </w:r>
      <w:r>
        <w:tab/>
        <w:t>Decizia Consiliului din 13 iulie 1981 privind încheierea Convenției privind viitoarea cooperare multilaterală pentru pescuit în Atlanticul de Nord-Est (JO L 227, 12.8.1981, p. 21).</w:t>
      </w:r>
    </w:p>
  </w:footnote>
  <w:footnote w:id="13">
    <w:p>
      <w:pPr>
        <w:pStyle w:val="FootnoteText"/>
      </w:pPr>
      <w:r>
        <w:rPr>
          <w:rStyle w:val="FootnoteReference"/>
        </w:rPr>
        <w:footnoteRef/>
      </w:r>
      <w:r>
        <w:tab/>
        <w:t>JO L 184, 16.7.2009, p. 12-15.</w:t>
      </w:r>
    </w:p>
  </w:footnote>
  <w:footnote w:id="14">
    <w:p>
      <w:pPr>
        <w:pStyle w:val="FootnoteText"/>
      </w:pPr>
      <w:r>
        <w:rPr>
          <w:rStyle w:val="FootnoteReference"/>
        </w:rPr>
        <w:footnoteRef/>
      </w:r>
      <w:r>
        <w:tab/>
        <w:t>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(JO L 354, 28.12.2013, p. 22).</w:t>
      </w:r>
    </w:p>
  </w:footnote>
  <w:footnote w:id="15">
    <w:p>
      <w:pPr>
        <w:pStyle w:val="FootnoteText"/>
      </w:pPr>
      <w:r>
        <w:rPr>
          <w:rStyle w:val="FootnoteReference"/>
        </w:rPr>
        <w:footnoteRef/>
      </w:r>
      <w:r>
        <w:tab/>
        <w:t>JOIN(2016) 49 final, 10.11.2016.</w:t>
      </w:r>
    </w:p>
  </w:footnote>
  <w:footnote w:id="16">
    <w:p>
      <w:pPr>
        <w:pStyle w:val="FootnoteText"/>
      </w:pPr>
      <w:r>
        <w:rPr>
          <w:rStyle w:val="FootnoteReference"/>
        </w:rPr>
        <w:footnoteRef/>
      </w:r>
      <w:r>
        <w:tab/>
        <w:t>7348/1/17 REV 1, 24.3.2017.</w:t>
      </w:r>
    </w:p>
  </w:footnote>
  <w:footnote w:id="17">
    <w:p>
      <w:pPr>
        <w:pStyle w:val="FootnoteText"/>
      </w:pPr>
      <w:r>
        <w:rPr>
          <w:rStyle w:val="FootnoteReference"/>
        </w:rPr>
        <w:footnoteRef/>
      </w:r>
      <w:r>
        <w:tab/>
        <w:t>COM(2018) 28 final, 16.1.2018.</w:t>
      </w:r>
    </w:p>
  </w:footnote>
  <w:footnote w:id="18">
    <w:p>
      <w:pPr>
        <w:pStyle w:val="FootnoteText"/>
      </w:pPr>
      <w:r>
        <w:rPr>
          <w:rStyle w:val="FootnoteReference"/>
        </w:rPr>
        <w:footnoteRef/>
      </w:r>
      <w:r>
        <w:tab/>
        <w:t>Regulamentul (CE) nr. 1005/2008 al Consiliului de instituire a unui sistem comunitar pentru prevenirea, descurajarea și eliminarea pescuitului ilegal, nedeclarat și nereglementat, de modificare a Regulamentelor (CEE) nr. 2847/93, (CE) nr. 1936/2001 și (CE) nr. 601/2004 și de abrogare a Regulamentelor (CE) nr. 1093/94 și (CE) nr. 1447/1999 (JO L 286, 29.10.2008, p. 1).</w:t>
      </w:r>
    </w:p>
  </w:footnote>
  <w:footnote w:id="19">
    <w:p>
      <w:pPr>
        <w:pStyle w:val="FootnoteText"/>
      </w:pPr>
      <w:r>
        <w:rPr>
          <w:rStyle w:val="FootnoteReference"/>
        </w:rPr>
        <w:footnoteRef/>
      </w:r>
      <w:r>
        <w:tab/>
        <w:t>Regulamentul (CE) nr. 1224/2009 al Consiliului din 20 noiembrie 2009 de stabilire a unui sistem de control al Uniunii pentru asigurarea respectării normelor politicii comune în domeniul pescuitului, de modificare a Regulamentelor (CE) nr. 847/96, (CE) nr. 2371/2002, (CE) nr. 811/2004, (CE) nr. 768/2005, (CE) nr. 2115/2005, (CE) nr. 2166/2005, (CE) nr. 388/2006, (CE) nr. 509/2007, (CE) nr. 676/2007, (CE) nr. 1098/2007, (CE) nr. 1300/2008, (CE) nr. 1342/2008 și de abrogare a Regulamentelor (CEE) nr. 2847/93, (CE) nr. 1627/94 și (CE) nr. 1966/2006 (JO L 343, 22.12.2009, p. 1).</w:t>
      </w:r>
    </w:p>
  </w:footnote>
  <w:footnote w:id="20">
    <w:p>
      <w:pPr>
        <w:pStyle w:val="FootnoteText"/>
      </w:pPr>
      <w:r>
        <w:rPr>
          <w:rStyle w:val="FootnoteReference"/>
        </w:rPr>
        <w:footnoteRef/>
      </w:r>
      <w:r>
        <w:tab/>
        <w:t>Regulamentul (UE) 2017/2403 al Parlamentului European și al Consiliului din 12 decembrie 2017 privind gestionarea sustenabilă a flotelor de pescuit externe și de abrogare a Regulamentului (CE) nr. 1006/2008 al Consiliului (JO L 347, 28.12.2017, p. 81).</w:t>
      </w:r>
    </w:p>
  </w:footnote>
  <w:footnote w:id="21">
    <w:p>
      <w:pPr>
        <w:pStyle w:val="FootnoteText"/>
      </w:pPr>
      <w:r>
        <w:rPr>
          <w:rStyle w:val="FootnoteReference"/>
        </w:rPr>
        <w:footnoteRef/>
      </w:r>
      <w:r>
        <w:tab/>
        <w:t>Decizia Consiliului din 19 mai 2014 privind poziția care urmează să fie adoptată, în numele Uniunii Europene, în cadrul Comisiei pentru pescuit în Atlanticul de Nord-Est (NEAFC).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13: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C020BF4-3FAA-45AB-9BF2-5E9B932C3735"/>
    <w:docVar w:name="LW_COVERPAGE_TYPE" w:val="1"/>
    <w:docVar w:name="LW_CROSSREFERENCE" w:val="&lt;UNUSED&gt;"/>
    <w:docVar w:name="LW_DocType" w:val="COM"/>
    <w:docVar w:name="LW_EMISSION" w:val="6.3.2019"/>
    <w:docVar w:name="LW_EMISSION_ISODATE" w:val="2019-03-06"/>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54"/>
    <w:docVar w:name="LW_REF.II.NEW.CP_YEAR" w:val="2019"/>
    <w:docVar w:name="LW_REF.INST.NEW" w:val="COM"/>
    <w:docVar w:name="LW_REF.INST.NEW_ADOPTED" w:val="final"/>
    <w:docVar w:name="LW_REF.INST.NEW_TEXT" w:val="(2019)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misiei pentru pescuit în Atlanticul de Nord-Est \u537?i de abrogare a Deciziei 9451/1/14 REV 1"/>
    <w:docVar w:name="LW_TYPE.DOC.CP" w:val="DECIZIE A CONSILIULUI"/>
    <w:docVar w:name="Stamp" w:val="\\dossiers.dgt.cec.eu.int\dossiers\MARE\MARE-2018-00541\MARE-2018-00541-00-04-EN-EDT-00.20181207101110489775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084">
      <w:bodyDiv w:val="1"/>
      <w:marLeft w:val="0"/>
      <w:marRight w:val="0"/>
      <w:marTop w:val="0"/>
      <w:marBottom w:val="0"/>
      <w:divBdr>
        <w:top w:val="none" w:sz="0" w:space="0" w:color="auto"/>
        <w:left w:val="none" w:sz="0" w:space="0" w:color="auto"/>
        <w:bottom w:val="none" w:sz="0" w:space="0" w:color="auto"/>
        <w:right w:val="none" w:sz="0" w:space="0" w:color="auto"/>
      </w:divBdr>
      <w:divsChild>
        <w:div w:id="1909146166">
          <w:marLeft w:val="0"/>
          <w:marRight w:val="0"/>
          <w:marTop w:val="0"/>
          <w:marBottom w:val="0"/>
          <w:divBdr>
            <w:top w:val="none" w:sz="0" w:space="0" w:color="auto"/>
            <w:left w:val="none" w:sz="0" w:space="0" w:color="auto"/>
            <w:bottom w:val="none" w:sz="0" w:space="0" w:color="auto"/>
            <w:right w:val="none" w:sz="0" w:space="0" w:color="auto"/>
          </w:divBdr>
        </w:div>
        <w:div w:id="758867406">
          <w:marLeft w:val="0"/>
          <w:marRight w:val="0"/>
          <w:marTop w:val="0"/>
          <w:marBottom w:val="0"/>
          <w:divBdr>
            <w:top w:val="none" w:sz="0" w:space="0" w:color="auto"/>
            <w:left w:val="none" w:sz="0" w:space="0" w:color="auto"/>
            <w:bottom w:val="none" w:sz="0" w:space="0" w:color="auto"/>
            <w:right w:val="none" w:sz="0" w:space="0" w:color="auto"/>
          </w:divBdr>
        </w:div>
        <w:div w:id="96747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38B8-B232-4568-B366-8338E4F9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2015</Words>
  <Characters>11689</Characters>
  <Application>Microsoft Office Word</Application>
  <DocSecurity>0</DocSecurity>
  <Lines>201</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2019-02-14T14:54:00Z</dcterms:created>
  <dcterms:modified xsi:type="dcterms:W3CDTF">2019-03-01T14:13:00Z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