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720572D3-D16E-49F2-A599-47AAC7386FDD" style="width:450.75pt;height:397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PRILOG I.</w:t>
      </w:r>
    </w:p>
    <w:p>
      <w:pPr>
        <w:pStyle w:val="Header"/>
        <w:jc w:val="center"/>
        <w:rPr>
          <w:b/>
          <w:noProof/>
        </w:rPr>
      </w:pPr>
      <w:r>
        <w:rPr>
          <w:noProof/>
        </w:rPr>
        <w:t xml:space="preserve">Stajalište koje u ime Unije treba zauzeti u Organizaciji za ribarstvo jugoistočnog Atlantika (SEAFO) </w:t>
      </w:r>
    </w:p>
    <w:p>
      <w:pPr>
        <w:pStyle w:val="Heading1"/>
        <w:numPr>
          <w:ilvl w:val="0"/>
          <w:numId w:val="5"/>
        </w:numPr>
        <w:rPr>
          <w:noProof/>
        </w:rPr>
      </w:pPr>
      <w:r>
        <w:rPr>
          <w:noProof/>
        </w:rPr>
        <w:t>NAČELA</w:t>
      </w:r>
    </w:p>
    <w:p>
      <w:pPr>
        <w:rPr>
          <w:noProof/>
        </w:rPr>
      </w:pPr>
      <w:r>
        <w:rPr>
          <w:noProof/>
        </w:rPr>
        <w:t>Unija u okviru SEAFO-a:</w:t>
      </w:r>
    </w:p>
    <w:p>
      <w:pPr>
        <w:pStyle w:val="Point0"/>
        <w:rPr>
          <w:noProof/>
        </w:rPr>
      </w:pPr>
      <w:r>
        <w:rPr>
          <w:noProof/>
        </w:rPr>
        <w:t xml:space="preserve">a) </w:t>
      </w:r>
      <w:r>
        <w:rPr>
          <w:noProof/>
        </w:rPr>
        <w:tab/>
        <w:t>djeluje u skladu s ciljevima i načelima Unije utvrđenima u okviru zajedničke ribarstvene politike (ZRP), posebno primjenom predostrožnog pristupa i s pomoću ciljeva povezanih s najvećim održivim prinosom kako je utvrđeno člankom 2. stavkom 2. Uredbe (EU) br. 1380/2013, kako bi se promicala primjena pristupa upravljanju ribarstvom temeljenog na ekosustavu, kako bi se u najvećoj mogućoj mjeri izbjegao i smanjio neželjeni ulov i postupno napustila praksa odbacivanja ulova te kako bi se utjecaj ribolovnih aktivnosti na morske ekosustave i njihova staništa smanjio na najmanju moguću razinu, te promicanjem gospodarski održivog i konkurentnog ribolova Unije kako bi se osigurao primjeren životni standard za osobe koje ovise o ribolovnim aktivnostima te uzeli u obzir interesi potrošača;</w:t>
      </w:r>
    </w:p>
    <w:p>
      <w:pPr>
        <w:pStyle w:val="Point0"/>
        <w:rPr>
          <w:noProof/>
        </w:rPr>
      </w:pPr>
      <w:r>
        <w:rPr>
          <w:noProof/>
        </w:rPr>
        <w:t xml:space="preserve">b) </w:t>
      </w:r>
      <w:r>
        <w:rPr>
          <w:noProof/>
        </w:rPr>
        <w:tab/>
        <w:t>radi na primjerenom uključivanju dionika u pripremnu fazu izrade mjera SEAFO-a i osigurava da mjere donesene u SEAFO-u budu u skladu s Konvencijom SEAFO-a;</w:t>
      </w:r>
    </w:p>
    <w:p>
      <w:pPr>
        <w:pStyle w:val="Point0"/>
        <w:rPr>
          <w:noProof/>
        </w:rPr>
      </w:pPr>
      <w:r>
        <w:rPr>
          <w:noProof/>
        </w:rPr>
        <w:t xml:space="preserve">c) </w:t>
      </w:r>
      <w:r>
        <w:rPr>
          <w:noProof/>
        </w:rPr>
        <w:tab/>
        <w:t>osigurava da su mjere donesene u SEAFO-u usklađene s međunarodnim pravom, a posebno s odredbama Konvencije UN-a o pravu mora iz 1982., Sporazuma UN-a iz 1995. u pogledu očuvanja i upravljanja pograničnim ribljim stokovima i vrlo migratornim ribljim stokovima te Sporazuma o promicanju usklađivanja ribarskih plovila na otvorenom moru s međunarodnim mjerama očuvanja i upravljanja iz 1993. i Sporazuma Organizacije za hranu i poljoprivredu o mjerama države luke iz 2009.;</w:t>
      </w:r>
    </w:p>
    <w:p>
      <w:pPr>
        <w:pStyle w:val="Point0"/>
        <w:rPr>
          <w:noProof/>
        </w:rPr>
      </w:pPr>
      <w:r>
        <w:rPr>
          <w:noProof/>
        </w:rPr>
        <w:t xml:space="preserve">d) </w:t>
      </w:r>
      <w:r>
        <w:rPr>
          <w:noProof/>
        </w:rPr>
        <w:tab/>
        <w:t>promiče stajališta koja su u skladu s najboljim praksama regionalnih organizacija za upravljanje ribarstvom (RFMO-i) na istom području;</w:t>
      </w:r>
    </w:p>
    <w:p>
      <w:pPr>
        <w:pStyle w:val="Point0"/>
        <w:rPr>
          <w:noProof/>
          <w:szCs w:val="24"/>
        </w:rPr>
      </w:pPr>
      <w:r>
        <w:rPr>
          <w:noProof/>
        </w:rPr>
        <w:t xml:space="preserve">e) </w:t>
      </w:r>
      <w:r>
        <w:rPr>
          <w:noProof/>
        </w:rPr>
        <w:tab/>
        <w:t>nastoji ostvariti usklađenost i sinergiju s politikom koju Unija provodi kao dio svojih bilateralnih odnosa u području ribarstva s trećim zemljama i osigurava usklađenost s njezinim drugim politikama, posebno u području vanjskih odnosa, zapošljavanja, okoliša, trgovine, razvoja, istraživanja i inovacija;</w:t>
      </w:r>
    </w:p>
    <w:p>
      <w:pPr>
        <w:pStyle w:val="Point0"/>
        <w:rPr>
          <w:noProof/>
          <w:szCs w:val="24"/>
        </w:rPr>
      </w:pPr>
      <w:r>
        <w:rPr>
          <w:noProof/>
        </w:rPr>
        <w:t>f)</w:t>
      </w:r>
      <w:r>
        <w:rPr>
          <w:noProof/>
        </w:rPr>
        <w:tab/>
        <w:t>osigurava poštovanje međunarodnih obveza Unije;</w:t>
      </w:r>
    </w:p>
    <w:p>
      <w:pPr>
        <w:pStyle w:val="Point0"/>
        <w:rPr>
          <w:noProof/>
          <w:szCs w:val="24"/>
        </w:rPr>
      </w:pPr>
      <w:r>
        <w:rPr>
          <w:noProof/>
        </w:rPr>
        <w:t xml:space="preserve">g) </w:t>
      </w:r>
      <w:r>
        <w:rPr>
          <w:noProof/>
        </w:rPr>
        <w:tab/>
        <w:t>postupa u skladu sa zaključcima Vijeća od 19. ožujka 2012. o Komunikaciji Komisije o vanjskoj dimenziji zajedničke ribarstvene politike</w:t>
      </w:r>
      <w:r>
        <w:rPr>
          <w:rStyle w:val="FootnoteReference"/>
          <w:noProof/>
        </w:rPr>
        <w:footnoteReference w:id="1"/>
      </w:r>
      <w:r>
        <w:rPr>
          <w:noProof/>
        </w:rPr>
        <w:t>;</w:t>
      </w:r>
    </w:p>
    <w:p>
      <w:pPr>
        <w:pStyle w:val="Point0"/>
        <w:rPr>
          <w:noProof/>
          <w:szCs w:val="24"/>
        </w:rPr>
      </w:pPr>
      <w:r>
        <w:rPr>
          <w:noProof/>
        </w:rPr>
        <w:t xml:space="preserve">h) </w:t>
      </w:r>
      <w:r>
        <w:rPr>
          <w:noProof/>
        </w:rPr>
        <w:tab/>
        <w:t>nastoji stvoriti jednake uvjete za flotu Unije na području primjene Konvencije SEAFO-a na temelju istih načela i standarda koji se primjenjuju na temelju zakonodavstva Unije te promicati ujednačenu provedbu tih načela i standarda;</w:t>
      </w:r>
    </w:p>
    <w:p>
      <w:pPr>
        <w:pStyle w:val="Point0"/>
        <w:rPr>
          <w:noProof/>
          <w:szCs w:val="24"/>
        </w:rPr>
      </w:pPr>
      <w:r>
        <w:rPr>
          <w:noProof/>
        </w:rPr>
        <w:t xml:space="preserve">i) </w:t>
      </w:r>
      <w:r>
        <w:rPr>
          <w:noProof/>
        </w:rPr>
        <w:tab/>
        <w:t>postupa u skladu sa Zajedničkom komunikacijom Visokog predstavnika Unije za vanjske poslove i sigurnosnu politiku i Europske komisije pod naslovom „Međunarodno upravljanje oceanima:</w:t>
      </w:r>
      <w:r>
        <w:rPr>
          <w:i/>
          <w:noProof/>
        </w:rPr>
        <w:t xml:space="preserve"> plan za budućnost naših oceana</w:t>
      </w:r>
      <w:r>
        <w:rPr>
          <w:noProof/>
        </w:rPr>
        <w:t>”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i zaključcima Vijeća o toj zajedničkoj komunikaciji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te promiče mjere za potporu i povećanje učinkovitosti SEAFO-a i, ako je relevantno, poboljšava njegovo upravljanje i rad (osobito u pogledu znanosti, sukladnosti, transparentnosti i donošenja odluka) kao doprinos održivom upravljanju oceanima u svim njegovim dimenzijama;</w:t>
      </w:r>
    </w:p>
    <w:p>
      <w:pPr>
        <w:pStyle w:val="Point0"/>
        <w:rPr>
          <w:noProof/>
          <w:szCs w:val="24"/>
        </w:rPr>
      </w:pPr>
      <w:r>
        <w:rPr>
          <w:noProof/>
        </w:rPr>
        <w:t xml:space="preserve">j) </w:t>
      </w:r>
      <w:r>
        <w:rPr>
          <w:noProof/>
        </w:rPr>
        <w:tab/>
        <w:t xml:space="preserve">promiče koordinaciju između RFMO-a i regionalnih konvencija o moru te, prema potrebi, suradnju sa svjetskim organizacijama u okviru njihovih ovlaštenja; </w:t>
      </w:r>
    </w:p>
    <w:p>
      <w:pPr>
        <w:pStyle w:val="Point0"/>
        <w:rPr>
          <w:noProof/>
          <w:szCs w:val="24"/>
        </w:rPr>
      </w:pPr>
      <w:r>
        <w:rPr>
          <w:noProof/>
        </w:rPr>
        <w:t>k)</w:t>
      </w:r>
      <w:r>
        <w:rPr>
          <w:noProof/>
        </w:rPr>
        <w:tab/>
        <w:t>promiče mehanizme suradnje među RFMO-ima koji nisu zaduženi za tunu slične takozvanom postupku iz Kobea za RFMO-e za tunu.</w:t>
      </w:r>
    </w:p>
    <w:p>
      <w:pPr>
        <w:pStyle w:val="Heading1"/>
        <w:rPr>
          <w:noProof/>
        </w:rPr>
      </w:pPr>
      <w:r>
        <w:rPr>
          <w:noProof/>
        </w:rPr>
        <w:t>SMJERNICE</w:t>
      </w:r>
    </w:p>
    <w:p>
      <w:pPr>
        <w:autoSpaceDE w:val="0"/>
        <w:autoSpaceDN w:val="0"/>
        <w:adjustRightInd w:val="0"/>
        <w:spacing w:before="0" w:after="0"/>
        <w:rPr>
          <w:noProof/>
        </w:rPr>
      </w:pPr>
      <w:r>
        <w:rPr>
          <w:noProof/>
        </w:rPr>
        <w:t>Unija, prema potrebi, nastoji podupirati donošenje sljedećih mjera od strane SEAFO-a:</w:t>
      </w:r>
    </w:p>
    <w:p>
      <w:pPr>
        <w:pStyle w:val="Point0"/>
        <w:rPr>
          <w:noProof/>
        </w:rPr>
      </w:pPr>
      <w:r>
        <w:rPr>
          <w:noProof/>
        </w:rPr>
        <w:t xml:space="preserve">a) </w:t>
      </w:r>
      <w:r>
        <w:rPr>
          <w:noProof/>
        </w:rPr>
        <w:tab/>
        <w:t>mjere očuvanja i upravljanja ribolovnim resursima na području primjene Konvencije na temelju najboljih dostupnih znanstvenih savjeta, uključujući ukupni dopušteni ulov (TAC) i kvote ili napor za žive morske biološke resurse koje regulira SEAFO, kojima bi se najkasnije do 2020. progresivno i postupno ostvarila stopa iskorištenosti koja može osigurati najviši održivi prinos. Prema potrebi, razmotrit će se posebne mjere za stokove izložene prelovu kako bi ribolovni napor ostao u skladu s dostupnim ribolovnim mogućnostima;</w:t>
      </w:r>
    </w:p>
    <w:p>
      <w:pPr>
        <w:pStyle w:val="Point0"/>
        <w:rPr>
          <w:noProof/>
        </w:rPr>
      </w:pPr>
      <w:r>
        <w:rPr>
          <w:noProof/>
        </w:rPr>
        <w:t xml:space="preserve">b) </w:t>
      </w:r>
      <w:r>
        <w:rPr>
          <w:noProof/>
        </w:rPr>
        <w:tab/>
        <w:t>mjere za sprečavanje nezakonitih, neprijavljenih i nereguliranih ribolovnih aktivnosti, odvraćanje od njih i njihovo zaustavljanje na području primjene Konvencije, uključujući popis plovila koja obavljaju takav ribolov;</w:t>
      </w:r>
    </w:p>
    <w:p>
      <w:pPr>
        <w:pStyle w:val="Point0"/>
        <w:rPr>
          <w:noProof/>
        </w:rPr>
      </w:pPr>
      <w:r>
        <w:rPr>
          <w:noProof/>
        </w:rPr>
        <w:t xml:space="preserve">c) </w:t>
      </w:r>
      <w:r>
        <w:rPr>
          <w:noProof/>
        </w:rPr>
        <w:tab/>
        <w:t>mjere praćenja, kontrole i nadzora na području primjene Konvencije kako bi se osigurala učinkovitost kontrole i sukladnost s mjerama donesenima u okviru SEAFO-a;</w:t>
      </w:r>
    </w:p>
    <w:p>
      <w:pPr>
        <w:pStyle w:val="Point0"/>
        <w:rPr>
          <w:noProof/>
        </w:rPr>
      </w:pPr>
      <w:r>
        <w:rPr>
          <w:noProof/>
        </w:rPr>
        <w:t xml:space="preserve">d) </w:t>
      </w:r>
      <w:r>
        <w:rPr>
          <w:noProof/>
        </w:rPr>
        <w:tab/>
        <w:t>mjere za smanjenje negativnih posljedica ribolovnih aktivnosti na morsku bioraznolikost i morske ekosustave i njihova staništa, uključujući mjere za smanjenje onečišćenja mora i sprečavanje bacanja plastike u more te smanjenje utjecaja plastike koja se nalazi na moru na morsku bioraznolikost i ekosustave, zaštitne mjere za osjetljive morske ekosustave na području primjene Konvencije SEAFO-a u skladu s Međunarodnim smjernicama FAO-a za upravljanje dubokomorskim ribolovom na otvorenom moru te mjere za najveće moguće izbjegavanje i smanjivanje neželjenog ulova, osobito osjetljivih morskih vrsta, te za postupno napuštanje prakse odbacivanja ulova;</w:t>
      </w:r>
    </w:p>
    <w:p>
      <w:pPr>
        <w:pStyle w:val="Point0"/>
        <w:rPr>
          <w:noProof/>
        </w:rPr>
      </w:pPr>
      <w:r>
        <w:rPr>
          <w:noProof/>
        </w:rPr>
        <w:t>e)</w:t>
      </w:r>
      <w:r>
        <w:rPr>
          <w:noProof/>
        </w:rPr>
        <w:tab/>
        <w:t xml:space="preserve">mjere za smanjenje posljedica ostavljenog, izgubljenog ili na drugi način odbačenog ribolovnog alata u oceanu i olakšavanje pronalaženja i uklanjanja takvog alata; </w:t>
      </w:r>
    </w:p>
    <w:p>
      <w:pPr>
        <w:pStyle w:val="Point0"/>
        <w:rPr>
          <w:noProof/>
        </w:rPr>
      </w:pPr>
      <w:r>
        <w:rPr>
          <w:noProof/>
        </w:rPr>
        <w:t xml:space="preserve">f) </w:t>
      </w:r>
      <w:r>
        <w:rPr>
          <w:noProof/>
        </w:rPr>
        <w:tab/>
        <w:t>mjere kojima je cilj zabrana ribolova koji se obavlja samo radi izlova peraja morskog psa i kojima se zahtijeva da se svi morski psi iskrcaju sa svim perajama prirodno povezanima s trupom;</w:t>
      </w:r>
    </w:p>
    <w:p>
      <w:pPr>
        <w:pStyle w:val="Point0"/>
        <w:rPr>
          <w:noProof/>
        </w:rPr>
      </w:pPr>
      <w:r>
        <w:rPr>
          <w:noProof/>
        </w:rPr>
        <w:t>g)</w:t>
      </w:r>
      <w:r>
        <w:rPr>
          <w:noProof/>
        </w:rPr>
        <w:tab/>
        <w:t>preporuke, prema potrebi i u mjeri u kojoj je to dopušteno u skladu s relevantnim osnivačkim dokumentima, kojima se potiče provedba Konvencije o radu u ribolovu Međunarodne organizacije rada (ILO);</w:t>
      </w:r>
    </w:p>
    <w:p>
      <w:pPr>
        <w:pStyle w:val="Point0"/>
        <w:rPr>
          <w:noProof/>
        </w:rPr>
      </w:pPr>
      <w:r>
        <w:rPr>
          <w:noProof/>
        </w:rPr>
        <w:t>h)</w:t>
      </w:r>
      <w:r>
        <w:rPr>
          <w:noProof/>
        </w:rPr>
        <w:tab/>
        <w:t>prema potrebi, zajednički pristup s drugim RFMO-ima, osobito s onima koji su uključeni u upravljanje ribarstvom u istoj regiji;</w:t>
      </w:r>
    </w:p>
    <w:p>
      <w:pPr>
        <w:pStyle w:val="Point0"/>
        <w:rPr>
          <w:noProof/>
        </w:rPr>
      </w:pPr>
      <w:r>
        <w:rPr>
          <w:noProof/>
        </w:rPr>
        <w:t xml:space="preserve">i) </w:t>
      </w:r>
      <w:r>
        <w:rPr>
          <w:noProof/>
        </w:rPr>
        <w:tab/>
        <w:t>dodatne tehničke mjere koje se temelje na savjetima pomoćnih tijela i radnih skupina SEAFO-a.</w:t>
      </w:r>
    </w:p>
    <w:p>
      <w:pPr>
        <w:rPr>
          <w:noProof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Annexetitre"/>
        <w:rPr>
          <w:noProof/>
        </w:rPr>
      </w:pPr>
      <w:r>
        <w:rPr>
          <w:noProof/>
        </w:rPr>
        <w:t>PRILOG II.</w:t>
      </w:r>
    </w:p>
    <w:p>
      <w:pPr>
        <w:jc w:val="center"/>
        <w:rPr>
          <w:rFonts w:eastAsia="Calibri"/>
          <w:b/>
          <w:noProof/>
          <w:szCs w:val="20"/>
          <w:u w:val="single"/>
        </w:rPr>
      </w:pPr>
      <w:r>
        <w:rPr>
          <w:b/>
          <w:noProof/>
          <w:u w:val="single"/>
        </w:rPr>
        <w:t>Godišnje usklađivanje stajališta Unije koje treba zauzeti</w:t>
      </w:r>
    </w:p>
    <w:p>
      <w:pPr>
        <w:jc w:val="center"/>
        <w:rPr>
          <w:rFonts w:eastAsia="Calibri"/>
          <w:b/>
          <w:noProof/>
          <w:szCs w:val="20"/>
          <w:u w:val="single"/>
        </w:rPr>
      </w:pPr>
      <w:r>
        <w:rPr>
          <w:b/>
          <w:noProof/>
          <w:u w:val="single"/>
        </w:rPr>
        <w:t xml:space="preserve">na sastancima Organizacije za ribarstvo jugoistočnog Atlantika </w:t>
      </w:r>
    </w:p>
    <w:p>
      <w:pPr>
        <w:jc w:val="center"/>
        <w:rPr>
          <w:rFonts w:eastAsia="Calibri"/>
          <w:b/>
          <w:i/>
          <w:strike/>
          <w:noProof/>
          <w:szCs w:val="20"/>
          <w:u w:val="single"/>
        </w:rPr>
      </w:pPr>
    </w:p>
    <w:p>
      <w:pPr>
        <w:rPr>
          <w:rFonts w:eastAsia="Calibri"/>
          <w:noProof/>
          <w:szCs w:val="20"/>
        </w:rPr>
      </w:pPr>
      <w:r>
        <w:rPr>
          <w:noProof/>
        </w:rPr>
        <w:t>Prije svakog sastanka Komisije SEAFO-a, kada se to tijelo pozove na donošenje odluka koje bi za Uniju mogle postati obvezujuće, poduzimaju se potrebni koraci kako bi se u stajalištu koje treba iznijeti u ime Unije uzele u obzir najnovije znanstvene i druge relevantne informacije dostavljene Komisiji, u skladu s načelima i smjernicama utvrđenima u Prilogu I.</w:t>
      </w:r>
    </w:p>
    <w:p>
      <w:pPr>
        <w:rPr>
          <w:rFonts w:eastAsia="Calibri"/>
          <w:noProof/>
          <w:szCs w:val="20"/>
        </w:rPr>
      </w:pPr>
      <w:r>
        <w:rPr>
          <w:noProof/>
        </w:rPr>
        <w:t>U tu svrhu i na temelju tih podataka Komisija Vijeću ili njegovim pripremnim tijelima pravovremeno prije svakog sastanka Komisije SEAFO-a dostavlja pisani dokument u kojem se utvrđuju pojedinosti predloženog usklađivanja stajališta Unije za raspravu i prihvaćanje pojedinosti stajališta koje treba iznijeti u ime Unije.</w:t>
      </w:r>
    </w:p>
    <w:p>
      <w:pPr>
        <w:rPr>
          <w:rFonts w:eastAsia="Calibri"/>
          <w:noProof/>
          <w:szCs w:val="20"/>
        </w:rPr>
      </w:pPr>
      <w:r>
        <w:rPr>
          <w:noProof/>
        </w:rPr>
        <w:t>Ako na sastanku Komisije SEAFO-a ili na licu mjesta nije moguće postići dogovor kako bi se u stajalištu Unije uzeli u obzir novi elementi, pitanje se upućuje Vijeću ili njegovim pripremnim tijelima.</w:t>
      </w:r>
    </w:p>
    <w:p>
      <w:pPr>
        <w:rPr>
          <w:noProof/>
        </w:rPr>
      </w:pP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 xml:space="preserve">7087/12 REV 1 ADD 1 COR 1. 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JOIN(2016) 49 final od 10.11.2016.</w:t>
      </w:r>
    </w:p>
  </w:footnote>
  <w:footnote w:id="3">
    <w:p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7348/1/17 REV 1 od 24.3.2017.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79E1B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ECE37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F4AE17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E884D0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62469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A58668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36AB8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BF49E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3-06 09:35:2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7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 "/>
    <w:docVar w:name="LW_ACCOMPAGNANT.CP" w:val=" 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720572D3-D16E-49F2-A599-47AAC7386FDD"/>
    <w:docVar w:name="LW_COVERPAGE_TYPE" w:val="1"/>
    <w:docVar w:name="LW_CROSSREFERENCE" w:val="&lt;UNUSED&gt;"/>
    <w:docVar w:name="LW_DocType" w:val="ANNEX"/>
    <w:docVar w:name="LW_EMISSION" w:val="6.3.2019."/>
    <w:docVar w:name="LW_EMISSION_ISODATE" w:val="2019-03-06"/>
    <w:docVar w:name="LW_EMISSION_LOCATION" w:val="BRX"/>
    <w:docVar w:name="LW_EMISSION_PREFIX" w:val="Bruxelles, "/>
    <w:docVar w:name="LW_EMISSION_SUFFIX" w:val="&lt;EMPTY&gt;"/>
    <w:docVar w:name="LW_ID_DOCSTRUCTURE" w:val="COM/ANNEX"/>
    <w:docVar w:name="LW_ID_DOCTYPE" w:val="SG-017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OBJETACTEPRINCIPAL" w:val="o stajali\u353?tu koje u ime Europske unije treba zauzeti u Organizaciji za ribarstvo jugoisto\u269?nog Atlantika i o stavljanju izvan snage Odluke&lt;LWCR:NBS&gt;Vije\u263?a 10127/14_x000b_"/>
    <w:docVar w:name="LW_OBJETACTEPRINCIPAL.CP" w:val="o stajali\u353?tu koje u ime Europske unije treba zauzeti u Organizaciji za ribarstvo jugoisto\u269?nog Atlantika i o stavljanju izvan snage Odluke Vije\u263?a 10127/14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9) 9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ILOZI"/>
    <w:docVar w:name="LW_TYPE.DOC.CP" w:val="PRILOZI"/>
    <w:docVar w:name="LW_TYPEACTEPRINCIPAL" w:val="Prijedlogu odluke Vije\u263?a"/>
    <w:docVar w:name="LW_TYPEACTEPRINCIPAL.CP" w:val="Prijedlogu odluke Vije\u263?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r-HR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r-HR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3</TotalTime>
  <Pages>4</Pages>
  <Words>966</Words>
  <Characters>5791</Characters>
  <Application>Microsoft Office Word</Application>
  <DocSecurity>0</DocSecurity>
  <Lines>101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MOLLEDO Luis (MARE)</dc:creator>
  <cp:lastModifiedBy>WES PDFC Administrator</cp:lastModifiedBy>
  <cp:revision>8</cp:revision>
  <dcterms:created xsi:type="dcterms:W3CDTF">2019-02-27T10:39:00Z</dcterms:created>
  <dcterms:modified xsi:type="dcterms:W3CDTF">2019-03-06T08:35:00Z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2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