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9B11DB-DCF7-42A8-AF19-82C48301581A"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rFonts w:eastAsia="Arial Unicode MS"/>
          <w:noProof/>
        </w:rPr>
      </w:pPr>
      <w:r>
        <w:t>1.</w:t>
      </w:r>
      <w:r>
        <w:tab/>
      </w:r>
      <w:r>
        <w:rPr>
          <w:noProof/>
        </w:rPr>
        <w:t>Predmet návrhu</w:t>
      </w:r>
    </w:p>
    <w:p>
      <w:pPr>
        <w:autoSpaceDE w:val="0"/>
        <w:autoSpaceDN w:val="0"/>
        <w:adjustRightInd w:val="0"/>
        <w:spacing w:before="0" w:after="0"/>
        <w:rPr>
          <w:rFonts w:ascii="TimesNewRomanPSMT" w:hAnsi="TimesNewRomanPSMT" w:cs="TimesNewRomanPSMT"/>
          <w:noProof/>
          <w:szCs w:val="24"/>
        </w:rPr>
      </w:pPr>
      <w:r>
        <w:rPr>
          <w:noProof/>
        </w:rPr>
        <w:t>Tento návrh sa týka rozhodnutia o stanovení pozície, ktorá sa má zaujať v mene Únie na zasadnutiach Regionálnej organizácie pre riadenie rybárstva v južnom Tichom oceáne (SPRFMO) na roky 2019 až 2023 v súvislosti s plánovaným prijatím ochranných a riadiacich opatrení.</w:t>
      </w:r>
    </w:p>
    <w:p>
      <w:pPr>
        <w:pStyle w:val="ManualHeading1"/>
        <w:rPr>
          <w:noProof/>
        </w:rPr>
      </w:pPr>
      <w:r>
        <w:t>2.</w:t>
      </w:r>
      <w:r>
        <w:tab/>
      </w:r>
      <w:r>
        <w:rPr>
          <w:noProof/>
        </w:rPr>
        <w:t>Kontext návrhu</w:t>
      </w:r>
    </w:p>
    <w:p>
      <w:pPr>
        <w:pStyle w:val="ManualHeading2"/>
        <w:rPr>
          <w:noProof/>
        </w:rPr>
      </w:pPr>
      <w:r>
        <w:t>2.1.</w:t>
      </w:r>
      <w:r>
        <w:tab/>
      </w:r>
      <w:r>
        <w:rPr>
          <w:noProof/>
        </w:rPr>
        <w:t>Dohovor o ochrane a riadení rybolovných zdrojov na otvorenom mori v južnom Tichom oceáne</w:t>
      </w:r>
    </w:p>
    <w:p>
      <w:pPr>
        <w:rPr>
          <w:noProof/>
        </w:rPr>
      </w:pPr>
      <w:r>
        <w:rPr>
          <w:noProof/>
        </w:rPr>
        <w:t>Dohovorom o ochrane a riadení rybolovných zdrojov na otvorenom mori v južnom Tichom oceáne (dohovor SPRFMO) bola na účely zabezpečenia dlhodobej ochrany a udržateľného využívania rybolovných zdrojov v oblasti dohovoru zriadená organizácia SPRFMO. Dohovor nadobudol platnosť 24. augusta 2012.</w:t>
      </w:r>
    </w:p>
    <w:p>
      <w:pPr>
        <w:rPr>
          <w:noProof/>
        </w:rPr>
      </w:pPr>
      <w:r>
        <w:rPr>
          <w:noProof/>
        </w:rPr>
        <w:t>Únia schválila dohovor SPRFMO rozhodnutím Rady 2012/130/EÚ</w:t>
      </w:r>
      <w:r>
        <w:rPr>
          <w:rStyle w:val="FootnoteReference"/>
          <w:noProof/>
        </w:rPr>
        <w:footnoteReference w:id="1"/>
      </w:r>
      <w:r>
        <w:rPr>
          <w:noProof/>
        </w:rPr>
        <w:t>, čím sa stala jeho zmluvnou stranou.</w:t>
      </w:r>
    </w:p>
    <w:p>
      <w:pPr>
        <w:pStyle w:val="ManualHeading2"/>
        <w:rPr>
          <w:noProof/>
        </w:rPr>
      </w:pPr>
      <w:r>
        <w:t>2.2.</w:t>
      </w:r>
      <w:r>
        <w:tab/>
      </w:r>
      <w:r>
        <w:rPr>
          <w:noProof/>
        </w:rPr>
        <w:t>Komisia SPRFMO</w:t>
      </w:r>
    </w:p>
    <w:p>
      <w:pPr>
        <w:rPr>
          <w:noProof/>
        </w:rPr>
      </w:pPr>
      <w:r>
        <w:rPr>
          <w:noProof/>
        </w:rPr>
        <w:t>Komisia SPRFMO je orgán zriadený dohovorom SPRFMO, ktorý je zodpovedný za riadenie a ochranu rybolovných zdrojov v oblasti dohovoru. Prijíma ochranné a riadiace opatrenia, ktorými sa má zabezpečiť dlhodobá ochrana a udržateľné využívanie rybolovných zdrojov vo vodách patriacich do jej kompetencie.</w:t>
      </w:r>
    </w:p>
    <w:p>
      <w:pPr>
        <w:rPr>
          <w:rFonts w:eastAsia="Arial Unicode MS"/>
          <w:noProof/>
        </w:rPr>
      </w:pPr>
      <w:r>
        <w:rPr>
          <w:noProof/>
        </w:rPr>
        <w:t>Únia sa ako člen komisie SPRFMO môže podieľať na jej práci a má aj hlasovacie práva. Komisia SPRFMO obvykle prijíma svoje rozhodnutia konsenzom. Svoje rozhodnutia však môže prijímať aj trojštvrtinovou väčšinou svojich členov; výnimku predstavuje prípad, keď sa v dohovore SPRFMO výslovne stanovuje, že sa má hlasovať konsenzom.</w:t>
      </w:r>
    </w:p>
    <w:p>
      <w:pPr>
        <w:pStyle w:val="ManualHeading2"/>
        <w:rPr>
          <w:noProof/>
        </w:rPr>
      </w:pPr>
      <w:r>
        <w:t>2.3.</w:t>
      </w:r>
      <w:r>
        <w:tab/>
      </w:r>
      <w:r>
        <w:rPr>
          <w:noProof/>
        </w:rPr>
        <w:t>Rozhodnutia komisie SPRFMO</w:t>
      </w:r>
    </w:p>
    <w:p>
      <w:pPr>
        <w:rPr>
          <w:rFonts w:eastAsia="Arial Unicode MS"/>
          <w:noProof/>
        </w:rPr>
      </w:pPr>
      <w:r>
        <w:rPr>
          <w:noProof/>
        </w:rPr>
        <w:t>Komisia SPRFMO má právomoc prijímať ochranné opatrenia a opatrenia na ich presadzovanie v prípade rybolovných oblastí patriacich do jej kompetencie, ktoré sú pre zmluvné strany záväzné.</w:t>
      </w:r>
    </w:p>
    <w:p>
      <w:pPr>
        <w:rPr>
          <w:noProof/>
        </w:rPr>
      </w:pPr>
      <w:r>
        <w:rPr>
          <w:noProof/>
        </w:rPr>
        <w:t>V súlade s článkom 17 ods. 1 dohovoru SPRFMO nadobúdajú opatrenia platnosť 90 dní odo dňa, keď ich SPRFMO oznámi zmluvným stranám. Ak ktorýkoľvek člen komisie SPRFMO predloží námietku proti rozhodnutiu do 60 dní odo dňa jeho oznámenia, rozhodnutie sa pre tohto člena nestáva záväzným v rozsahu námietky. V prípade predloženia námietky sa do 30 dní od skončenia lehoty na vznesenie námietok zriadi revízny výbor, ktorý rozhodne vo veci predmetnej námietky.</w:t>
      </w:r>
    </w:p>
    <w:p>
      <w:pPr>
        <w:pStyle w:val="ManualHeading1"/>
        <w:rPr>
          <w:rFonts w:eastAsia="Arial Unicode MS"/>
          <w:noProof/>
        </w:rPr>
      </w:pPr>
      <w:r>
        <w:t>3.</w:t>
      </w:r>
      <w:r>
        <w:tab/>
      </w:r>
      <w:r>
        <w:rPr>
          <w:noProof/>
        </w:rPr>
        <w:t>Pozícia, ktorá sa má zaujať v mene Únie</w:t>
      </w:r>
    </w:p>
    <w:p>
      <w:pPr>
        <w:rPr>
          <w:rFonts w:eastAsia="Times New Roman"/>
          <w:noProof/>
        </w:rPr>
      </w:pPr>
      <w:r>
        <w:rPr>
          <w:noProof/>
        </w:rPr>
        <w:t>Pozície, ktoré sa majú zaujať v mene Únie na výročných zasadnutiach regionálnych organizácií pre riadenie rybárstva (RFMO), sa v súčasnosti stanovujú na základe dvojstupňového prístupu. Základné zásady a smerovanie úsilia uvedené v pozícii Únie sa stanovujú rozhodnutím Rady na obdobie niekoľkých rokov a pozícia sa následne na účely každého výročného zasadnutia upraví neoficiálnymi dokumentmi Komisie, ktoré sa prerokúvajú v rámci pracovnej skupiny Rady.</w:t>
      </w:r>
    </w:p>
    <w:p>
      <w:pPr>
        <w:rPr>
          <w:rFonts w:eastAsia="Times New Roman"/>
          <w:noProof/>
        </w:rPr>
      </w:pPr>
      <w:r>
        <w:rPr>
          <w:noProof/>
        </w:rPr>
        <w:t>V prípade SPRFMO je tento postup transponovaný rozhodnutím Rady 9784/17 z 30. mája 2017, ktorým sa stanovuje pozícia Únie v rámci SPRFMO na roky 2017 až 2021. Rozhodnutie obsahuje všeobecné zásady a smerovanie úsilia, no podľa možnosti sa v ňom čo najviac prihliada aj na špecifiká SPRFMO. Okrem toho sa ním stanovuje štandardný postup pri každoročnom stanovovaní pozície Únie v zmysle požiadaviek členských štátov.</w:t>
      </w:r>
    </w:p>
    <w:p>
      <w:pPr>
        <w:rPr>
          <w:rFonts w:eastAsia="Times New Roman"/>
          <w:noProof/>
        </w:rPr>
      </w:pPr>
      <w:r>
        <w:rPr>
          <w:noProof/>
        </w:rPr>
        <w:t>V rozhodnutí 9784/17 sa nepočíta s revíziou pozície Únie v rámci SPRFMO pred výročným zasadnutím v roku 2022. Veľká väčšina rozhodnutí Rady, ktorými sa stanovuje pozícia Únie v rámci rôznych RFMO, ktorých je zmluvnou stranou, sa má zrevidovať pred výročnými zasadnutiami daných organizácií v roku 2019. Z tohto dôvodu je v záujme jednotnosti pozícií Únie v rámci všetkých RFMO a časového zosúladenia revízneho procesu vhodné navrhnúť revíziu pozície Únie v SPRFMO na roky 2019 až 2023 a nahradiť rozhodnutie 9784/17.</w:t>
      </w:r>
    </w:p>
    <w:p>
      <w:pPr>
        <w:rPr>
          <w:rFonts w:eastAsia="Times New Roman"/>
          <w:noProof/>
        </w:rPr>
      </w:pPr>
      <w:r>
        <w:rPr>
          <w:noProof/>
        </w:rPr>
        <w:t>Rozhodnutie 9784/17 vychádzalo zo zásad a smerovania úsilia novej spoločnej rybárskej politiky (SRP) v zmysle nariadenia Európskeho parlamentu a Rady (EÚ) č. 1380/2013</w:t>
      </w:r>
      <w:r>
        <w:rPr>
          <w:rStyle w:val="FootnoteReference"/>
          <w:noProof/>
        </w:rPr>
        <w:footnoteReference w:id="2"/>
      </w:r>
      <w:r>
        <w:rPr>
          <w:noProof/>
        </w:rPr>
        <w:t xml:space="preserve"> a prihliadalo sa v ňom aj na ciele stanovené v oznámení Komisie o vonkajšom rozmere SRP</w:t>
      </w:r>
      <w:r>
        <w:rPr>
          <w:rStyle w:val="FootnoteReference"/>
          <w:noProof/>
        </w:rPr>
        <w:footnoteReference w:id="3"/>
      </w:r>
      <w:r>
        <w:rPr>
          <w:noProof/>
        </w:rPr>
        <w:t>. Okrem toho sa ním pozícia Únie zosúladila s Lisabonskou dohodou.</w:t>
      </w:r>
    </w:p>
    <w:p>
      <w:pPr>
        <w:rPr>
          <w:noProof/>
        </w:rPr>
      </w:pPr>
      <w:r>
        <w:rPr>
          <w:noProof/>
        </w:rPr>
        <w:t xml:space="preserve">Pri súčasnej revízii sa v súvislosti s vplyvom rybolovných činností zohľadňuje oznámenie Komisie Európskemu parlamentu, Rade, Európskemu hospodárskemu a sociálnemu Výboru a Výboru regiónov s názvom </w:t>
      </w:r>
      <w:r>
        <w:rPr>
          <w:i/>
          <w:noProof/>
        </w:rPr>
        <w:t>Európska stratégia pre plasty v obehovom hospodárstve</w:t>
      </w:r>
      <w:r>
        <w:rPr>
          <w:rStyle w:val="FootnoteReference"/>
          <w:noProof/>
        </w:rPr>
        <w:footnoteReference w:id="4"/>
      </w:r>
      <w:r>
        <w:rPr>
          <w:noProof/>
        </w:rPr>
        <w:t xml:space="preserve">, spoločné oznámenie vysokej predstaviteľky Únie pre zahraničné veci a bezpečnostnú politiku a Komisie s názvom </w:t>
      </w:r>
      <w:r>
        <w:rPr>
          <w:i/>
          <w:noProof/>
        </w:rPr>
        <w:t>Medzinárodná správa oceánov: program pre budúcnosť našich oceánov</w:t>
      </w:r>
      <w:r>
        <w:rPr>
          <w:rStyle w:val="FootnoteReference"/>
          <w:noProof/>
        </w:rPr>
        <w:footnoteReference w:id="5"/>
      </w:r>
      <w:r>
        <w:rPr>
          <w:noProof/>
        </w:rPr>
        <w:t xml:space="preserve"> a závery Rady k uvedenému spoločnému oznámeniu</w:t>
      </w:r>
      <w:r>
        <w:rPr>
          <w:rStyle w:val="FootnoteReference"/>
          <w:noProof/>
        </w:rPr>
        <w:footnoteReference w:id="6"/>
      </w:r>
      <w:r>
        <w:rPr>
          <w:noProof/>
        </w:rPr>
        <w:t>.</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„pozície, ktoré sa majú prijať v mene Únie v rámci orgánu zriadeného dohodou, keď je tento orgán vyzvaný prijať akty s právnymi účinkami s výnimkou aktov dopĺňajúcich alebo meniacich inštitucionálny rámec danej dohody.“</w:t>
      </w:r>
    </w:p>
    <w:p>
      <w:pPr>
        <w:rPr>
          <w:noProof/>
        </w:rPr>
      </w:pPr>
      <w:r>
        <w:rPr>
          <w:noProof/>
        </w:rPr>
        <w:t>Medzi „akty s právnymi účinkami“ patria akty, ktoré sú právne účinné podľa pravidiel medzinárodného práva, ktorými sa riadi predmetný orgán, ako aj nástroje, ktoré síce nie sú podľa medzinárodného práva záväzné, ale „môžu rozhodujúcim spôsobom ovplyvniť obsah právnej úpravy prijatej normotvorcom Únie“</w:t>
      </w:r>
      <w:r>
        <w:rPr>
          <w:rStyle w:val="FootnoteReference"/>
          <w:noProof/>
        </w:rPr>
        <w:footnoteReference w:id="7"/>
      </w:r>
      <w:r>
        <w:rPr>
          <w:noProof/>
        </w:rPr>
        <w:t>.</w:t>
      </w:r>
    </w:p>
    <w:p>
      <w:pPr>
        <w:pStyle w:val="ManualHeading3"/>
        <w:rPr>
          <w:noProof/>
        </w:rPr>
      </w:pPr>
      <w:r>
        <w:t>4.1.2.</w:t>
      </w:r>
      <w:r>
        <w:tab/>
      </w:r>
      <w:r>
        <w:rPr>
          <w:noProof/>
        </w:rPr>
        <w:t>Uplatnenie na tento prípad</w:t>
      </w:r>
    </w:p>
    <w:p>
      <w:pPr>
        <w:rPr>
          <w:noProof/>
        </w:rPr>
      </w:pPr>
      <w:r>
        <w:rPr>
          <w:noProof/>
        </w:rPr>
        <w:t>Komisia SPRFMO je orgán zriadený dohodou, konkrétne dohovorom SPRFMO.</w:t>
      </w:r>
    </w:p>
    <w:p>
      <w:pPr>
        <w:rPr>
          <w:noProof/>
        </w:rPr>
      </w:pPr>
      <w:r>
        <w:rPr>
          <w:noProof/>
        </w:rPr>
        <w:t>Akt, ktorý má komisia SPRFMO prijať, predstavuje akt s právnymi účinkami. Pripravované akty budú podľa medzinárodného práva záväzné v súlade s článkom 17 dohovoru SPRFMO a môžu rozhodujúcim spôsobom ovplyvniť obsah právnej úpravy EÚ, konkrétne:</w:t>
      </w:r>
    </w:p>
    <w:p>
      <w:pPr>
        <w:pStyle w:val="Bullet0"/>
        <w:numPr>
          <w:ilvl w:val="0"/>
          <w:numId w:val="13"/>
        </w:numPr>
        <w:rPr>
          <w:noProof/>
        </w:rPr>
      </w:pPr>
      <w:r>
        <w:rPr>
          <w:noProof/>
        </w:rPr>
        <w:t>nariadenie Rady (ES) č. 1005/2008, ktorým sa ustanovuje systém Spoločenstva na zabraňovanie nezákonnému, nenahlásenému a neregulovanému (NNN) rybolovu, na odrádzanie od neho a jeho odstránenie</w:t>
      </w:r>
      <w:r>
        <w:rPr>
          <w:rStyle w:val="FootnoteReference"/>
          <w:noProof/>
        </w:rPr>
        <w:footnoteReference w:id="8"/>
      </w:r>
      <w:r>
        <w:rPr>
          <w:noProof/>
        </w:rPr>
        <w:t xml:space="preserve">, </w:t>
      </w:r>
    </w:p>
    <w:p>
      <w:pPr>
        <w:pStyle w:val="Bullet0"/>
        <w:rPr>
          <w:noProof/>
        </w:rPr>
      </w:pPr>
      <w:r>
        <w:rPr>
          <w:noProof/>
        </w:rPr>
        <w:t>nariadenie Rady (ES) č. 1224/2009, ktorým sa zriaďuje systém kontroly Spoločenstva na zabezpečenie dodržiavania pravidiel spoločnej politiky v oblasti rybného hospodárstva</w:t>
      </w:r>
      <w:r>
        <w:rPr>
          <w:rStyle w:val="FootnoteReference"/>
          <w:noProof/>
        </w:rPr>
        <w:footnoteReference w:id="9"/>
      </w:r>
      <w:r>
        <w:rPr>
          <w:noProof/>
        </w:rPr>
        <w:t xml:space="preserve"> a </w:t>
      </w:r>
    </w:p>
    <w:p>
      <w:pPr>
        <w:pStyle w:val="Bullet0"/>
        <w:rPr>
          <w:noProof/>
        </w:rPr>
      </w:pPr>
      <w:r>
        <w:rPr>
          <w:noProof/>
        </w:rPr>
        <w:t>nariadenie Európskeho parlamentu a Rady (EÚ) 2017/2403 z 12. decembra 2017 o udržateľnom riadení vonkajších rybárskych flotíl</w:t>
      </w:r>
      <w:r>
        <w:rPr>
          <w:rStyle w:val="FootnoteReference"/>
          <w:noProof/>
        </w:rPr>
        <w:footnoteReference w:id="10"/>
      </w:r>
      <w:r>
        <w:rPr>
          <w:noProof/>
        </w:rPr>
        <w:t>.</w:t>
      </w:r>
    </w:p>
    <w:p>
      <w:pPr>
        <w:rPr>
          <w:noProof/>
        </w:rPr>
      </w:pPr>
      <w:r>
        <w:rPr>
          <w:noProof/>
        </w:rPr>
        <w:t>Pripravovanými aktmi sa nedopĺňa ani nemení inštitucionálny rámec dohovoru SPRFMO.</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je len vedľajšia, rozhodnutie podľa článku 218 ods. 9 ZFEÚ musí byť založené na jedinom hmotnoprávnom základe, a to na tom, ktorý si vyžaduje hlavný alebo prevažujúci cieľ alebo zložka.</w:t>
      </w:r>
    </w:p>
    <w:p>
      <w:pPr>
        <w:pStyle w:val="ManualHeading3"/>
        <w:rPr>
          <w:noProof/>
        </w:rPr>
      </w:pPr>
      <w:r>
        <w:t>4.2.2.</w:t>
      </w:r>
      <w:r>
        <w:tab/>
      </w:r>
      <w:r>
        <w:rPr>
          <w:noProof/>
        </w:rPr>
        <w:t>Uplatnenie na tento prípad</w:t>
      </w:r>
    </w:p>
    <w:p>
      <w:pPr>
        <w:rPr>
          <w:noProof/>
        </w:rPr>
      </w:pPr>
      <w:r>
        <w:rPr>
          <w:noProof/>
        </w:rPr>
        <w:t>Hlavný cieľ a obsah pripravovaného aktu sa týkajú rybolovu. Právnym základom na stanovenie zásad, ktoré sa majú zohľadniť v tejto pozícii, je nariadenie (EÚ) č. 1380/2013.</w:t>
      </w:r>
    </w:p>
    <w:p>
      <w:pPr>
        <w:rPr>
          <w:noProof/>
        </w:rPr>
      </w:pPr>
      <w:r>
        <w:rPr>
          <w:noProof/>
        </w:rPr>
        <w:t>Hmotnoprávnym základom navrhovaného rozhodnutia je preto článok 43 ods. 2 ZFEÚ. Týmto rozhodnutím sa má nahradiť rozhodnutie 9784/17.</w:t>
      </w:r>
    </w:p>
    <w:p>
      <w:pPr>
        <w:pStyle w:val="ManualHeading2"/>
        <w:rPr>
          <w:noProof/>
        </w:rPr>
      </w:pPr>
      <w:r>
        <w:t>4.3.</w:t>
      </w:r>
      <w:r>
        <w:tab/>
      </w:r>
      <w:r>
        <w:rPr>
          <w:noProof/>
        </w:rPr>
        <w:t>Záver</w:t>
      </w:r>
    </w:p>
    <w:p>
      <w:pPr>
        <w:rPr>
          <w:noProof/>
        </w:rPr>
      </w:pPr>
      <w:r>
        <w:rPr>
          <w:noProof/>
        </w:rPr>
        <w:t>Právnym základom navrhovaného rozhodnutia by mal byť článok 43 ods. 2 ZFEÚ v spojení s článkom 218 ods. 9 ZFEÚ.</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2019/0053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Európskej únie v Regionálnej organizácii pre riadenie rybárstva v južnom Tichom oceáne, a o zrušení rozhodnutia 9784/17</w:t>
      </w:r>
    </w:p>
    <w:p>
      <w:pPr>
        <w:pStyle w:val="Institutionquiagit"/>
        <w:rPr>
          <w:b/>
          <w:noProof/>
        </w:rPr>
      </w:pPr>
      <w:r>
        <w:rPr>
          <w:b/>
          <w:noProof/>
        </w:rPr>
        <w:t>RADA EURÓPSKEJ ÚNIE,</w:t>
      </w:r>
    </w:p>
    <w:p>
      <w:pPr>
        <w:rPr>
          <w:noProof/>
        </w:rPr>
      </w:pPr>
      <w:r>
        <w:rPr>
          <w:noProof/>
        </w:rPr>
        <w:t>so zreteľom na Zmluvu o fungovaní Európskej únie, a najmä na jej článok 43 ods. 2 v spojení s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Rozhodnutím Rady 2012/130/EÚ z 3. októbra 2011</w:t>
      </w:r>
      <w:r>
        <w:rPr>
          <w:rStyle w:val="FootnoteReference"/>
          <w:noProof/>
        </w:rPr>
        <w:footnoteReference w:id="11"/>
      </w:r>
      <w:r>
        <w:rPr>
          <w:noProof/>
        </w:rPr>
        <w:t xml:space="preserve"> Únia uzavrela Dohovor o ochrane a riadení rybolovných zdrojov na otvorenom mori v južnom Tichom oceáne (dohovor SPRMO), ktorým bola zriadená komisia SPRFMO.</w:t>
      </w:r>
    </w:p>
    <w:p>
      <w:pPr>
        <w:pStyle w:val="ManualConsidrant"/>
        <w:rPr>
          <w:noProof/>
        </w:rPr>
      </w:pPr>
      <w:r>
        <w:t>(2)</w:t>
      </w:r>
      <w:r>
        <w:tab/>
      </w:r>
      <w:r>
        <w:rPr>
          <w:noProof/>
        </w:rPr>
        <w:t>Komisia SPRFMO je zodpovedná za prijímanie ochranných a riadiacich opatrení, ktorými sa majú dosiahnuť ciele dohovoru SPRFMO. Takéto opatrenia sa môžu stať pre Úniu záväznými.</w:t>
      </w:r>
    </w:p>
    <w:p>
      <w:pPr>
        <w:pStyle w:val="ManualConsidrant"/>
        <w:rPr>
          <w:noProof/>
        </w:rPr>
      </w:pPr>
      <w:r>
        <w:t>(3)</w:t>
      </w:r>
      <w:r>
        <w:tab/>
      </w:r>
      <w:r>
        <w:rPr>
          <w:noProof/>
        </w:rPr>
        <w:t>V nariadení Európskeho parlamentu a Rady (EÚ) č. 1380/2013</w:t>
      </w:r>
      <w:r>
        <w:rPr>
          <w:rStyle w:val="FootnoteReference"/>
          <w:noProof/>
        </w:rPr>
        <w:footnoteReference w:id="12"/>
      </w:r>
      <w:r>
        <w:rPr>
          <w:noProof/>
        </w:rPr>
        <w:t xml:space="preserve"> sa stanovuje, že Únia zabezpečuje, aby boli rybolovné a akvakultúrne činnosti dlhodobo environmentálne udržateľné a riadili sa spôsobom, ktorý je v súlade s cieľmi, ktorými je dosiahnuť hospodársky a sociálny prínos a prínos v oblasti zamestnanosti, a prispieť k dostupnosti dodávok potravín. V uvedenom nariadení sa takisto stanovuje, že Únia má pri riadení rybárstva uplatňovať prístup predbežnej opatrnosti a snažiť sa zabezpečiť, aby sa pri využívaní živých morských biologických zdrojov obnovovali a udržiavali populácie druhov lovených nad úrovňami, pri ktorých možno dosiahnuť maximálny udržateľný výnos. Ďalej sa v ňom stanovuje, že Únia má prijímať riadiace a ochranné opatrenia na základe najlepších dostupných vedeckých odporúčaní, podporovať prehlbovanie vedeckých poznatkov a odporúčaní, postupne eliminovať odhadzovanie úlovkov a presadzovať rybolovné metódy, ktoré prispievajú k selektívnejšiemu rybolovu, zabraňovaniu nechceným úlovkom a maximálnemu možnému zníženiu ich množstva, ako aj rybolovu s malým vplyvom na morské ekosystémy a rybolovné zdroje. Okrem toho sa v nariadení (EÚ) č. 1380/2013 špecificky uvádza, že dané ciele a zásady má Únia uplatňovať v rámci vonkajších vzťahov v oblasti rybárstva.</w:t>
      </w:r>
    </w:p>
    <w:p>
      <w:pPr>
        <w:pStyle w:val="ManualConsidrant"/>
        <w:rPr>
          <w:noProof/>
        </w:rPr>
      </w:pPr>
      <w:r>
        <w:t>(4)</w:t>
      </w:r>
      <w:r>
        <w:tab/>
      </w:r>
      <w:r>
        <w:rPr>
          <w:noProof/>
        </w:rPr>
        <w:t xml:space="preserve">Ako sa uvádza v spoločnom oznámení vysokej predstaviteľky Únie pre zahraničné veci a bezpečnostnú politiku a Európskej komisie s názvom </w:t>
      </w:r>
      <w:r>
        <w:rPr>
          <w:i/>
          <w:noProof/>
        </w:rPr>
        <w:t>Medzinárodná správa oceánov: program pre budúcnosť našich oceánov</w:t>
      </w:r>
      <w:r>
        <w:rPr>
          <w:rStyle w:val="FootnoteReference"/>
          <w:noProof/>
        </w:rPr>
        <w:footnoteReference w:id="13"/>
      </w:r>
      <w:r>
        <w:rPr>
          <w:noProof/>
        </w:rPr>
        <w:t xml:space="preserve"> a v záveroch Rady k uvedenému spoločnému oznámeniu</w:t>
      </w:r>
      <w:r>
        <w:rPr>
          <w:rStyle w:val="FootnoteReference"/>
          <w:noProof/>
        </w:rPr>
        <w:footnoteReference w:id="14"/>
      </w:r>
      <w:r>
        <w:rPr>
          <w:noProof/>
        </w:rPr>
        <w:t>, podstatou činnosti Únie v týchto fórach je presadzovanie opatrení na podporu a zefektívnenie činnosti regionálnych organizácií pre riadenie rybárstva (RFMO) a v prípade potreby zlepšenie ich správy.</w:t>
      </w:r>
    </w:p>
    <w:p>
      <w:pPr>
        <w:pStyle w:val="ManualConsidrant"/>
        <w:rPr>
          <w:noProof/>
        </w:rPr>
      </w:pPr>
      <w:r>
        <w:t>(5)</w:t>
      </w:r>
      <w:r>
        <w:tab/>
      </w:r>
      <w:r>
        <w:rPr>
          <w:noProof/>
        </w:rPr>
        <w:t xml:space="preserve">V oznámení Komisie Európskemu parlamentu, Rade, Európskemu hospodárskemu a sociálnemu výboru a Výboru regiónov s názvom </w:t>
      </w:r>
      <w:r>
        <w:rPr>
          <w:i/>
          <w:noProof/>
        </w:rPr>
        <w:t>Európska stratégia pre plasty v obehovom hospodárstve</w:t>
      </w:r>
      <w:r>
        <w:rPr>
          <w:rStyle w:val="FootnoteReference"/>
          <w:noProof/>
        </w:rPr>
        <w:footnoteReference w:id="15"/>
      </w:r>
      <w:r>
        <w:rPr>
          <w:noProof/>
        </w:rPr>
        <w:t xml:space="preserve"> sa uvádzajú špecifické opatrenia na zníženie množstva plastov v mori a znečisťovania mora, ako aj množstva strateného alebo opusteného rybárskeho výstroja na mori.</w:t>
      </w:r>
    </w:p>
    <w:p>
      <w:pPr>
        <w:pStyle w:val="ManualConsidrant"/>
        <w:rPr>
          <w:noProof/>
        </w:rPr>
      </w:pPr>
      <w:r>
        <w:t>(6)</w:t>
      </w:r>
      <w:r>
        <w:tab/>
      </w:r>
      <w:r>
        <w:rPr>
          <w:noProof/>
        </w:rPr>
        <w:t>Je vhodné stanoviť pozíciu, ktorá sa má na roky 2019 až 2023 zaujať v mene Únie na zasadnutiach komisie SPRFMO, pretože ochranné opatrenia SPRFMO a opatrenia na ich presadzovanie sa stanú pre Úniu záväznými a môžu rozhodujúcim spôsobom ovplyvniť obsah právnych predpisov Únie, konkrétne nariadenia Rady (ES) č. 1005/2008</w:t>
      </w:r>
      <w:r>
        <w:rPr>
          <w:rStyle w:val="FootnoteReference"/>
          <w:noProof/>
        </w:rPr>
        <w:footnoteReference w:id="16"/>
      </w:r>
      <w:r>
        <w:rPr>
          <w:noProof/>
        </w:rPr>
        <w:t>, nariadenia Rady (ES) č. 1224/2009</w:t>
      </w:r>
      <w:r>
        <w:rPr>
          <w:rStyle w:val="FootnoteReference"/>
          <w:noProof/>
        </w:rPr>
        <w:footnoteReference w:id="17"/>
      </w:r>
      <w:r>
        <w:rPr>
          <w:noProof/>
        </w:rPr>
        <w:t xml:space="preserve"> a nariadenia Európskeho parlamentu a Rady (EÚ) 2017/2403</w:t>
      </w:r>
      <w:r>
        <w:rPr>
          <w:rStyle w:val="FootnoteReference"/>
          <w:noProof/>
        </w:rPr>
        <w:footnoteReference w:id="18"/>
      </w:r>
      <w:r>
        <w:rPr>
          <w:noProof/>
        </w:rPr>
        <w:t>.</w:t>
      </w:r>
    </w:p>
    <w:p>
      <w:pPr>
        <w:pStyle w:val="ManualConsidrant"/>
        <w:rPr>
          <w:noProof/>
        </w:rPr>
      </w:pPr>
      <w:r>
        <w:t>(7)</w:t>
      </w:r>
      <w:r>
        <w:tab/>
      </w:r>
      <w:r>
        <w:rPr>
          <w:noProof/>
        </w:rPr>
        <w:t>V rozhodnutí 9784/17 sa nepočíta s revíziou pozície Únie pred výročným zasadnutím v roku 2022. Prevažná väčšina rozhodnutí Rady o stanovení pozície Únie v rámci rôznych RFMO, ktorých je zmluvnou stranou, sa však má zrevidovať pred výročným zasadnutím týchto organizácií v roku 2019. Z tohto dôvodu je v záujme zlepšenia jednotnosti pozície Únie v rámci všetkých RFMO a zefektívnenia revízneho procesu vhodné navrhnúť revíziu rozhodnutia Rady 9784/17</w:t>
      </w:r>
      <w:r>
        <w:rPr>
          <w:rStyle w:val="FootnoteReference"/>
          <w:noProof/>
          <w:lang w:eastAsia="en-GB"/>
        </w:rPr>
        <w:footnoteReference w:id="19"/>
      </w:r>
      <w:r>
        <w:rPr>
          <w:noProof/>
        </w:rPr>
        <w:t>, zrušiť ho a nahradiť ho novým rozhodnutím na roky 2019 až 2023.</w:t>
      </w:r>
    </w:p>
    <w:p>
      <w:pPr>
        <w:pStyle w:val="ManualConsidrant"/>
        <w:rPr>
          <w:noProof/>
        </w:rPr>
      </w:pPr>
      <w:r>
        <w:t>(8)</w:t>
      </w:r>
      <w:r>
        <w:tab/>
      </w:r>
      <w:r>
        <w:rPr>
          <w:noProof/>
        </w:rPr>
        <w:t>Vzhľadom na to, že rybolovné zdroje v oblasti dohovoru SPRFMO majú premenlivý charakter, a je teda potrebné, aby pozícia Únie zodpovedala aktuálnemu vývoju vrátane nových vedeckých a iných relevantných informácií predložených pred zasadnutiami komisie SPRFMO alebo počas nich, mali by sa v súlade so zásadou lojálnej spolupráce medzi inštitúciami Únie zakotvenou v článku 13 ods. 2 Zmluvy o Európskej únii (ZEÚ) stanoviť postupy na každoročnú špecifikáciu pozície Únie na roky 2019 až 2023,</w:t>
      </w:r>
    </w:p>
    <w:p>
      <w:pPr>
        <w:pStyle w:val="Formuledadoption"/>
        <w:rPr>
          <w:noProof/>
        </w:rPr>
      </w:pPr>
      <w:r>
        <w:rPr>
          <w:noProof/>
        </w:rPr>
        <w:t>PRIJALA TOTO ROZHODNUTIE:</w:t>
      </w:r>
    </w:p>
    <w:p>
      <w:pPr>
        <w:pStyle w:val="Titrearticle"/>
        <w:rPr>
          <w:noProof/>
        </w:rPr>
      </w:pPr>
      <w:r>
        <w:rPr>
          <w:noProof/>
        </w:rPr>
        <w:t>Článok 1</w:t>
      </w:r>
    </w:p>
    <w:p>
      <w:pPr>
        <w:autoSpaceDE w:val="0"/>
        <w:autoSpaceDN w:val="0"/>
        <w:adjustRightInd w:val="0"/>
        <w:spacing w:before="0" w:after="0"/>
        <w:rPr>
          <w:noProof/>
        </w:rPr>
      </w:pPr>
      <w:r>
        <w:rPr>
          <w:noProof/>
        </w:rPr>
        <w:t>Pozícia, ktorá sa má zaujať v mene Únie na zasadnutiach Regionálnej organizácie pre riadenie rybárstva v južnom Tichom oceáne (SPRFMO), je stanovená v prílohe I.</w:t>
      </w:r>
    </w:p>
    <w:p>
      <w:pPr>
        <w:pStyle w:val="Titrearticle"/>
        <w:rPr>
          <w:noProof/>
        </w:rPr>
      </w:pPr>
      <w:r>
        <w:rPr>
          <w:noProof/>
        </w:rPr>
        <w:t>Článok 2</w:t>
      </w:r>
    </w:p>
    <w:p>
      <w:pPr>
        <w:autoSpaceDE w:val="0"/>
        <w:autoSpaceDN w:val="0"/>
        <w:adjustRightInd w:val="0"/>
        <w:spacing w:before="0" w:after="0"/>
        <w:rPr>
          <w:noProof/>
          <w:szCs w:val="24"/>
        </w:rPr>
      </w:pPr>
      <w:r>
        <w:rPr>
          <w:noProof/>
        </w:rPr>
        <w:t>Pozícia, ktorú má zaujať Únia na zasadnutiach komisie SPRFMO, sa každoročne špecifikuje v súlade s prílohou II.</w:t>
      </w:r>
    </w:p>
    <w:p>
      <w:pPr>
        <w:pStyle w:val="Titrearticle"/>
        <w:rPr>
          <w:noProof/>
        </w:rPr>
      </w:pPr>
      <w:r>
        <w:rPr>
          <w:noProof/>
        </w:rPr>
        <w:t>Článok 3</w:t>
      </w:r>
    </w:p>
    <w:p>
      <w:pPr>
        <w:rPr>
          <w:noProof/>
        </w:rPr>
      </w:pPr>
      <w:r>
        <w:rPr>
          <w:noProof/>
        </w:rPr>
        <w:t>Rada na návrh Komisie posúdi a podľa potreby zreviduje pozíciu Únie stanovenú v prílohe I, a to najneskôr do konania výročného zasadnutia komisie SPRFMO v roku 2024.</w:t>
      </w:r>
    </w:p>
    <w:p>
      <w:pPr>
        <w:pStyle w:val="Titrearticle"/>
        <w:rPr>
          <w:noProof/>
        </w:rPr>
      </w:pPr>
      <w:r>
        <w:rPr>
          <w:noProof/>
        </w:rPr>
        <w:t>Článok 4</w:t>
      </w:r>
    </w:p>
    <w:p>
      <w:pPr>
        <w:autoSpaceDE w:val="0"/>
        <w:autoSpaceDN w:val="0"/>
        <w:adjustRightInd w:val="0"/>
        <w:spacing w:before="0" w:after="0"/>
        <w:rPr>
          <w:noProof/>
          <w:szCs w:val="24"/>
        </w:rPr>
      </w:pPr>
      <w:r>
        <w:rPr>
          <w:noProof/>
        </w:rPr>
        <w:t>Rozhodnutie 9784/17 z 30. mája 2017 sa zrušuje.</w:t>
      </w:r>
    </w:p>
    <w:p>
      <w:pPr>
        <w:pStyle w:val="Titrearticle"/>
        <w:rPr>
          <w:noProof/>
        </w:rPr>
      </w:pPr>
      <w:r>
        <w:rPr>
          <w:noProof/>
        </w:rPr>
        <w:t>Článok 5</w:t>
      </w:r>
    </w:p>
    <w:p>
      <w:pPr>
        <w:autoSpaceDE w:val="0"/>
        <w:autoSpaceDN w:val="0"/>
        <w:adjustRightInd w:val="0"/>
        <w:spacing w:before="0" w:after="0"/>
        <w:rPr>
          <w:noProof/>
          <w:szCs w:val="24"/>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keepNext/>
        <w:rPr>
          <w:noProof/>
        </w:rPr>
      </w:pPr>
      <w:r>
        <w:rPr>
          <w:noProof/>
        </w:rPr>
        <w:tab/>
        <w:t>predseda</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rPr>
          <w:sz w:val="20"/>
          <w:szCs w:val="20"/>
        </w:rPr>
        <w:tab/>
        <w:t>Rozhodnutie Rady 2012/130/EÚ z 3. októbra 2011 o schválení Dohovoru o ochrane a riadení rybolovných zdrojov na otvorenom mori v južnom Tichom oceáne v mene Európskej únie (Ú. v. EÚ L 67, 6.3.2012, s. 1).</w:t>
      </w:r>
    </w:p>
  </w:footnote>
  <w:footnote w:id="2">
    <w:p>
      <w:pPr>
        <w:pStyle w:val="FootnoteText"/>
      </w:pPr>
      <w:r>
        <w:rPr>
          <w:rStyle w:val="FootnoteReference"/>
        </w:rPr>
        <w:footnoteRef/>
      </w:r>
      <w:r>
        <w:tab/>
        <w:t>Nariadenie Európskeho parlamentu a Rady (EÚ) č. 1380/2013 o spoločnej rybárskej politike, ktorým sa menia nariadenia Rady (ES) č. 1954/2003 a (ES) č. 1224/2009 a zrušujú nariadenia Rady (ES) č. 2371/2002 a (ES) č. 639/2004 a rozhodnutie Rady 2004/585/ES (Ú. v. EÚ L 354, 28.12.2013, s. 22).</w:t>
      </w:r>
    </w:p>
  </w:footnote>
  <w:footnote w:id="3">
    <w:p>
      <w:pPr>
        <w:pStyle w:val="FootnoteText"/>
      </w:pPr>
      <w:r>
        <w:rPr>
          <w:rStyle w:val="FootnoteReference"/>
        </w:rPr>
        <w:footnoteRef/>
      </w:r>
      <w:r>
        <w:tab/>
        <w:t>KOM(2011) 424, 13.7.2011.</w:t>
      </w:r>
    </w:p>
  </w:footnote>
  <w:footnote w:id="4">
    <w:p>
      <w:pPr>
        <w:pStyle w:val="FootnoteText"/>
      </w:pPr>
      <w:r>
        <w:rPr>
          <w:rStyle w:val="FootnoteReference"/>
        </w:rPr>
        <w:footnoteRef/>
      </w:r>
      <w:r>
        <w:tab/>
        <w:t>COM(2018) 28 final, 16.1.2018.</w:t>
      </w:r>
    </w:p>
  </w:footnote>
  <w:footnote w:id="5">
    <w:p>
      <w:pPr>
        <w:pStyle w:val="FootnoteText"/>
      </w:pPr>
      <w:r>
        <w:rPr>
          <w:rStyle w:val="FootnoteReference"/>
        </w:rPr>
        <w:footnoteRef/>
      </w:r>
      <w:r>
        <w:tab/>
        <w:t>JOIN(2016) 49 final, 10.11.2016.</w:t>
      </w:r>
    </w:p>
  </w:footnote>
  <w:footnote w:id="6">
    <w:p>
      <w:pPr>
        <w:pStyle w:val="FootnoteText"/>
      </w:pPr>
      <w:r>
        <w:rPr>
          <w:rStyle w:val="FootnoteReference"/>
        </w:rPr>
        <w:footnoteRef/>
      </w:r>
      <w:r>
        <w:tab/>
        <w:t>7348/1/17 REV 1, 24.3.2017.</w:t>
      </w:r>
    </w:p>
  </w:footnote>
  <w:footnote w:id="7">
    <w:p>
      <w:pPr>
        <w:pStyle w:val="FootnoteText"/>
      </w:pPr>
      <w:r>
        <w:rPr>
          <w:rStyle w:val="FootnoteReference"/>
        </w:rPr>
        <w:footnoteRef/>
      </w:r>
      <w:r>
        <w:tab/>
        <w:t>Rozsudok Súdneho dvora zo 7. októbra 2014, Nemecko/Rada, vec C-399/12, ECLI:EU:C:2014:2258, body 61 až 64.</w:t>
      </w:r>
    </w:p>
  </w:footnote>
  <w:footnote w:id="8">
    <w:p>
      <w:pPr>
        <w:pStyle w:val="FootnoteText"/>
      </w:pPr>
      <w:r>
        <w:rPr>
          <w:rStyle w:val="FootnoteReference"/>
        </w:rPr>
        <w:footnoteRef/>
      </w:r>
      <w:r>
        <w:tab/>
        <w:t>Ú. v. EÚ L 286, 29.10.2008, s. 1.</w:t>
      </w:r>
    </w:p>
  </w:footnote>
  <w:footnote w:id="9">
    <w:p>
      <w:pPr>
        <w:pStyle w:val="FootnoteText"/>
      </w:pPr>
      <w:r>
        <w:rPr>
          <w:rStyle w:val="FootnoteReference"/>
        </w:rPr>
        <w:footnoteRef/>
      </w:r>
      <w:r>
        <w:tab/>
        <w:t>Ú. v. EÚ L 343, 22.12.2009, s. 1.</w:t>
      </w:r>
    </w:p>
  </w:footnote>
  <w:footnote w:id="10">
    <w:p>
      <w:pPr>
        <w:pStyle w:val="FootnoteText"/>
      </w:pPr>
      <w:r>
        <w:rPr>
          <w:rStyle w:val="FootnoteReference"/>
        </w:rPr>
        <w:footnoteRef/>
      </w:r>
      <w:r>
        <w:tab/>
        <w:t>Ú. v. EÚ L 347, 28.12.2017, s. 81.</w:t>
      </w:r>
    </w:p>
  </w:footnote>
  <w:footnote w:id="11">
    <w:p>
      <w:pPr>
        <w:pStyle w:val="FootnoteText"/>
      </w:pPr>
      <w:r>
        <w:rPr>
          <w:rStyle w:val="FootnoteReference"/>
        </w:rPr>
        <w:footnoteRef/>
      </w:r>
      <w:r>
        <w:tab/>
        <w:t>Rozhodnutie Rady 2012/130/EÚ z 3. októbra 2011 o schválení Dohovoru o ochrane a riadení rybolovných zdrojov na otvorenom mori v južnom Tichom oceáne v mene Európskej únie (Ú. v. EÚ L 67, 6.3.2012, s. 1).</w:t>
      </w:r>
    </w:p>
  </w:footnote>
  <w:footnote w:id="12">
    <w:p>
      <w:pPr>
        <w:pStyle w:val="FootnoteText"/>
      </w:pPr>
      <w:r>
        <w:rPr>
          <w:rStyle w:val="FootnoteReference"/>
        </w:rPr>
        <w:footnoteRef/>
      </w:r>
      <w:r>
        <w:tab/>
        <w:t>Nariadenie Európskeho parlamentu a Rady (EÚ) č. 1380/2013 z 11. decembra 2013 o spoločnej rybárskej politike, ktorým sa menia nariadenia Rady (ES) č. 1954/2003 a (ES) č. 1224/2009 a zrušujú nariadenia Rady (ES) č. 2371/2002 a (ES) č. 639/2004 a rozhodnutie Rady 2004/585/ES (Ú. v. EÚ L 354, 28.12.2013, s. 22).</w:t>
      </w:r>
    </w:p>
  </w:footnote>
  <w:footnote w:id="13">
    <w:p>
      <w:pPr>
        <w:pStyle w:val="FootnoteText"/>
      </w:pPr>
      <w:r>
        <w:rPr>
          <w:rStyle w:val="FootnoteReference"/>
        </w:rPr>
        <w:footnoteRef/>
      </w:r>
      <w:r>
        <w:tab/>
        <w:t>JOIN(2016) 49 final z 10.11.2016.</w:t>
      </w:r>
    </w:p>
  </w:footnote>
  <w:footnote w:id="14">
    <w:p>
      <w:pPr>
        <w:pStyle w:val="FootnoteText"/>
      </w:pPr>
      <w:r>
        <w:rPr>
          <w:rStyle w:val="FootnoteReference"/>
        </w:rPr>
        <w:footnoteRef/>
      </w:r>
      <w:r>
        <w:tab/>
        <w:t>7348/1/17 REV 1 z 24.3.2017.</w:t>
      </w:r>
    </w:p>
  </w:footnote>
  <w:footnote w:id="15">
    <w:p>
      <w:pPr>
        <w:pStyle w:val="FootnoteText"/>
      </w:pPr>
      <w:r>
        <w:rPr>
          <w:rStyle w:val="FootnoteReference"/>
        </w:rPr>
        <w:footnoteRef/>
      </w:r>
      <w:r>
        <w:tab/>
        <w:t>COM(2018) 28 final, 16.1.2018.</w:t>
      </w:r>
    </w:p>
  </w:footnote>
  <w:footnote w:id="16">
    <w:p>
      <w:pPr>
        <w:pStyle w:val="FootnoteText"/>
      </w:pPr>
      <w:r>
        <w:rPr>
          <w:rStyle w:val="FootnoteReference"/>
        </w:rPr>
        <w:footnoteRef/>
      </w:r>
      <w:r>
        <w:tab/>
        <w:t>Nariadenie Rady (ES) č. 1005/2008, ktorým sa ustanovuje systém Spoločenstva na zabraňovanie nezákonnému, nenahlásenému a neregulovanému rybolovu, na odrádzanie od neho a jeho odstránenie, ktorým sa menia a dopĺňajú nariadenia (EHS) č. 2847/93, (ES) č. 1936/2001 a (ES) č. 601/2004 a ktorým sa zrušujú nariadenia (ES) č. 1093/94 a (ES) č. 1447/1999 (Ú. v. EÚ L 286, 29.10.2008, s. 1).</w:t>
      </w:r>
    </w:p>
  </w:footnote>
  <w:footnote w:id="17">
    <w:p>
      <w:pPr>
        <w:pStyle w:val="FootnoteText"/>
      </w:pPr>
      <w:r>
        <w:rPr>
          <w:rStyle w:val="FootnoteReference"/>
        </w:rPr>
        <w:footnoteRef/>
      </w:r>
      <w:r>
        <w:tab/>
        <w:t>Nariadenie Rady (ES) č. 1224/2009 z 20. novembra 2009, ktorým sa zriaďuje systém kontroly Únie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 (Ú. v. EÚ L 343, 22.12.2009, s. 1).</w:t>
      </w:r>
    </w:p>
  </w:footnote>
  <w:footnote w:id="18">
    <w:p>
      <w:pPr>
        <w:pStyle w:val="FootnoteText"/>
      </w:pPr>
      <w:r>
        <w:rPr>
          <w:rStyle w:val="FootnoteReference"/>
        </w:rPr>
        <w:footnoteRef/>
      </w:r>
      <w:r>
        <w:tab/>
        <w:t>Nariadenie Európskeho parlamentu a Rady (EÚ) 2017/2403 z 12. decembra 2017 o udržateľnom riadení vonkajších rybárskych flotíl, ktorým sa zrušuje nariadenie Rady (ES) č. 1006/2008 (Ú. v. EÚ L 347, 28.12.2017, s. 81).</w:t>
      </w:r>
    </w:p>
  </w:footnote>
  <w:footnote w:id="19">
    <w:p>
      <w:pPr>
        <w:pStyle w:val="FootnoteText"/>
      </w:pPr>
      <w:r>
        <w:rPr>
          <w:rStyle w:val="FootnoteReference"/>
        </w:rPr>
        <w:footnoteRef/>
      </w:r>
      <w:r>
        <w:tab/>
        <w:t>Rozhodnutie Rady z 30. mája 2017, ktorým sa stanovuje pozícia, ktorá sa má v mene Európskej únie zaujať v rámci Regionálnej organizácie pre riadenie rybárstva v južnom Tichom oceáne (SPRFMO), a ktorým sa zrušuje rozhodnutie Rady z 25. októbra 2012 o stanovení pozície, ktorú má Únia zaujať v rámci Regionálnej organizácie na riadenie rybného hospodárstva v južnom Tichom oceáne.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2"/>
  </w:num>
  <w:num w:numId="11">
    <w:abstractNumId w:val="15"/>
  </w:num>
  <w:num w:numId="12">
    <w:abstractNumId w:val="22"/>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2"/>
  </w:num>
  <w:num w:numId="30">
    <w:abstractNumId w:val="21"/>
  </w:num>
  <w:num w:numId="31">
    <w:abstractNumId w:val="11"/>
  </w:num>
  <w:num w:numId="32">
    <w:abstractNumId w:val="13"/>
  </w:num>
  <w:num w:numId="33">
    <w:abstractNumId w:val="9"/>
  </w:num>
  <w:num w:numId="34">
    <w:abstractNumId w:val="20"/>
  </w:num>
  <w:num w:numId="35">
    <w:abstractNumId w:val="8"/>
  </w:num>
  <w:num w:numId="36">
    <w:abstractNumId w:val="14"/>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6: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E9B11DB-DCF7-42A8-AF19-82C48301581A"/>
    <w:docVar w:name="LW_COVERPAGE_TYPE" w:val="1"/>
    <w:docVar w:name="LW_CROSSREFERENCE" w:val="&lt;UNUSED&gt;"/>
    <w:docVar w:name="LW_DocType" w:val="COM"/>
    <w:docVar w:name="LW_EMISSION" w:val="6. 3. 2019"/>
    <w:docVar w:name="LW_EMISSION_ISODATE" w:val="2019-03-06"/>
    <w:docVar w:name="LW_EMISSION_LOCATION" w:val="BRX"/>
    <w:docVar w:name="LW_EMISSION_PREFIX" w:val="V Bruseli"/>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53"/>
    <w:docVar w:name="LW_REF.II.NEW.CP_YEAR" w:val="2019"/>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á sa má zauja\u357? v mene Európskej únie v Regionálnej organizácii pre riadenie rybárstva v ju\u382?nom Tichom oceáne, a o zru\u353?ení rozhodnutia 9784/17"/>
    <w:docVar w:name="LW_TYPE.DOC.CP" w:val="ROZHODNUTIE RADY"/>
    <w:docVar w:name="Stamp" w:val="\\dossiers.dgt.cec.eu.int\dossiers\MARE\MARE-2018-00541\MARE-2018-00541-00-10-EN-EDT-00.201812071235038541971.DOCX"/>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C673-63CB-4C39-BF9F-7B0934CA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1774</Words>
  <Characters>10258</Characters>
  <Application>Microsoft Office Word</Application>
  <DocSecurity>0</DocSecurity>
  <Lines>189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2019-02-15T13:59:00Z</dcterms:created>
  <dcterms:modified xsi:type="dcterms:W3CDTF">2019-03-01T14:06:00Z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