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506D85C-B2C0-4FC8-BE91-AD8966DDBE6D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autoSpaceDE w:val="0"/>
        <w:autoSpaceDN w:val="0"/>
        <w:adjustRightInd w:val="0"/>
        <w:spacing w:before="0" w:after="0"/>
        <w:rPr>
          <w:rFonts w:ascii="TimesNewRomanPSMT" w:hAnsi="TimesNewRomanPSMT" w:cs="TimesNewRomanPSMT"/>
          <w:noProof/>
          <w:szCs w:val="24"/>
        </w:rPr>
      </w:pPr>
      <w:r>
        <w:rPr>
          <w:noProof/>
        </w:rPr>
        <w:t>Din il-proposta tikkonċerna Deċiżjoni li tistabbilixxi l-pożizzjoni li għandha tittieħed f'isem l-Unjoni waqt laqgħat tal-Organizzazzjoni Reġjonali għall-Ġestjoni tas-Sajd fin-Nofsinhar tal-Paċifiku (SPRFMO) għall-perjodu 2019-2023 b'rabta mal-adozzjoni prevista ta' miżuri ta' konservazzjoni u ġestjoni.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Konvenzjoni dwar il-Konservazzjoni u l-Ġestjoni ta’ Riżorsi tas-Sajd f’Ibħra Internazzjonali fin-Nofsinhar tal-Oċean Paċifiku</w:t>
      </w:r>
    </w:p>
    <w:p>
      <w:pPr>
        <w:rPr>
          <w:noProof/>
        </w:rPr>
      </w:pPr>
      <w:r>
        <w:rPr>
          <w:noProof/>
        </w:rPr>
        <w:t>Il-Konvenzjoni dwar il-Konservazzjoni u l-Ġestjoni ta’ Riżorsi tas-Sajd f’Ibħra Miftuħa fin-Nofsinhar tal-Oċean Paċifiku (il-Konvenzjoni SPRFMO) għandha l-għan, billi tistabbilixxi l-SPRFMO, li tiżgura l-konservazzjoni u l-użu sostenibbli fit-tul tar-riżorsi tas-sajd fiż-żona tal-Konvenzjoni. Il-Konvenzjoni daħlet fis-seħħ fl-24 ta’ Awwissu 2012.</w:t>
      </w:r>
    </w:p>
    <w:p>
      <w:pPr>
        <w:rPr>
          <w:noProof/>
        </w:rPr>
      </w:pPr>
      <w:r>
        <w:rPr>
          <w:noProof/>
        </w:rPr>
        <w:t>L-Unjoni hija parti għall-SPRFMO, minħabba li rratifikat il-Konvenzjoni f'konformità mad-Deċiżjoni tal-Kunsill 2012/130/UE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Il-Kummissjoni SPRFMO</w:t>
      </w:r>
    </w:p>
    <w:p>
      <w:pPr>
        <w:rPr>
          <w:noProof/>
        </w:rPr>
      </w:pPr>
      <w:r>
        <w:rPr>
          <w:noProof/>
        </w:rPr>
        <w:t>Il-Kummissjoni SPRFMO hija korp stabbilit mill-Konvenzjoni SPRFMO biex ikun responsabbli għall-ġestjoni u l-konservazzjoni tar-riżorsi tas-sajd fiż-żona tal-Konvenzjoni. Din tadotta miżuri ta' konservazzjoni u ġestjoni biex tiżgura l-konservazzjoni u l-użu sostenibbli fit-tul tar-riżorsi tas-sajd fl-ambitu tagħha.</w:t>
      </w:r>
    </w:p>
    <w:p>
      <w:pPr>
        <w:rPr>
          <w:rFonts w:eastAsia="Arial Unicode MS"/>
          <w:noProof/>
        </w:rPr>
      </w:pPr>
      <w:r>
        <w:rPr>
          <w:noProof/>
        </w:rPr>
        <w:t>Bħala membru tal-Kummissjoni SPRFMO, l-Unjoni għandha drittijiet ta' parteċipazzjoni u ta' votazzjoni. Il-Kummissjoni SPRFMO normalment tieħu d-deċiżjonijiet tagħha b'kunsens. Madankollu, tista' tieħu deċiżjonijiet permezz ta' maġġoranza ta' tliet kwarti tal-membri tagħha, ħlief meta l-Konvenzjoni SPRFMO espressament tipprevedi għal kunsens.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Deċiżjonijiet tal-Kummissjoni SPRFMO</w:t>
      </w:r>
    </w:p>
    <w:p>
      <w:pPr>
        <w:rPr>
          <w:rFonts w:eastAsia="Arial Unicode MS"/>
          <w:noProof/>
        </w:rPr>
      </w:pPr>
      <w:r>
        <w:rPr>
          <w:noProof/>
        </w:rPr>
        <w:t>Il-Kummissjoni SPRFMO għandha l-awtorità li tadotta miżuri ta’ konservazzjoni u infurzar għas-sajd fl-ambitu tagħha, li jkunu vinkolanti fuq il-partijiet kontraenti.</w:t>
      </w:r>
    </w:p>
    <w:p>
      <w:pPr>
        <w:rPr>
          <w:noProof/>
        </w:rPr>
      </w:pPr>
      <w:r>
        <w:rPr>
          <w:noProof/>
        </w:rPr>
        <w:t>Skont l-Artikolu 17(1) tal-Konvenzjoni SPRFMO, il-miżuri jidħlu fis-seħħ 90 jum wara d-data li fiha l-partijiet kontraenti jiġu nnotifikati bihom mill-SPRFMO. Jekk kwalunkwe membru tal-Kummissjoni SPRFMO jippreżenta oġġezzjoni għal deċiżjoni fi żmien 60 ġurnata min-notifika, id-deċiżjoni ma ssirx vinkolanti għal dak il-membru għall-firxa tal-oġġezzjoni. Jekk tiġi ppreżentata oġġezzjoni, jiġi stabbilit bord għar-reviżjoni fi ħdan 30 jum mit-tmiem tal-perjodu ta' oġġezzjoni biex tintlaħaq deċiżjoni dwar l-oġġezzjoni.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għandha tittieħed f’isem l-Unjoni</w:t>
      </w:r>
    </w:p>
    <w:p>
      <w:pPr>
        <w:rPr>
          <w:rFonts w:eastAsia="Times New Roman"/>
          <w:noProof/>
        </w:rPr>
      </w:pPr>
      <w:r>
        <w:rPr>
          <w:noProof/>
        </w:rPr>
        <w:t>Il-pożizzjoni li għandha tiġi adottata f’isem l-Unjoni fil-laqgħat annwali tal-organizzazzjonijiet reġjonali tal-ġestjoni tas-sajd (RFMOs) bħalissa hija stabbilita skont approċċ fuq żewġ livelli. Deċiżjoni tal-Kunsill tistipula l-prinċipji ta’ gwida u l-orjentazzjonijiet tal-pożizzjoni tal-Unjoni fuq bażi pluriennali, u minn hemm ’il quddiem din il-pożizzjoni tiġi aġġustata għal kull laqgħa annwali permezz ta’ dokumenti informali tal-Kummissjoni li jridu jiġu diskussi fil-Grupp ta’ Ħidma tal-Kunsill.</w:t>
      </w:r>
    </w:p>
    <w:p>
      <w:pPr>
        <w:rPr>
          <w:rFonts w:eastAsia="Times New Roman"/>
          <w:noProof/>
        </w:rPr>
      </w:pPr>
      <w:r>
        <w:rPr>
          <w:noProof/>
        </w:rPr>
        <w:t>Għall-SPRFMO, dan l-approċċ jiġi implimentat mid-Deċiżjoni tal-Kunsill 9784/17 tat-30 ta' Mejju 2017, li tistipula l-pożizzjoni tal-Unjoni fl-SPRFMO għall-perjodu 2017-2021. Id-Deċiżjoni fiha prinċipji u orjentazzjonijiet ġenerali, iżda kemm jista' jkun tqis ukoll l-ispeċifiċitajiet tal-SPRFMO. Barra minn hekk, tistipula l-proċess standard għall-istabbiliment tal-pożizzjoni tal-Unjoni sena b'sena kif mitlub mill-Istati Membri.</w:t>
      </w:r>
    </w:p>
    <w:p>
      <w:pPr>
        <w:rPr>
          <w:rFonts w:eastAsia="Times New Roman"/>
          <w:noProof/>
        </w:rPr>
      </w:pPr>
      <w:r>
        <w:rPr>
          <w:noProof/>
        </w:rPr>
        <w:t>Id-Deċiżjoni tal-Kunsill 9784/17 ma tipprevedix rieżami tal-pożizzjoni tal-Unjoni fi ħdan l-SPRFMO qabel il-laqgħa annwali tal-2022. Madanakollu, il-maġġoranza l-kbira tad-Deċiżjonijiet tal-Kunsill, li jistipulaw il-pożizzjoni tal-Unjoni fid-diversi RFMOs li għalihom hija parti kontraenti, għandha ssirilhom reviżjoni qabel il-laqgħat annwali tal-2019 ta' dawk il-RFMOs. Għalhekk, biex tiġi promossa l-koerenza fost il-pożizzjonijiet tal-Unjoni fl-RFMOs kollha u biex jiġi sinkronizzat il-ħin għall-proċeduri tar-reviżjoni, huwa xieraq li tiġi antiċipata r-reviżjoni tal-pożizzjoni tal-Unjoni fl-SPRFMO għall-perjodu 2019-2023 u b'hekk tiġi sostitwita d-Deċiżjoni 9784/17.</w:t>
      </w:r>
    </w:p>
    <w:p>
      <w:pPr>
        <w:rPr>
          <w:rFonts w:eastAsia="Times New Roman"/>
          <w:noProof/>
        </w:rPr>
      </w:pPr>
      <w:r>
        <w:rPr>
          <w:noProof/>
        </w:rPr>
        <w:t>Id-Deċiżjoni 9784/17</w:t>
      </w:r>
      <w:r>
        <w:rPr>
          <w:rFonts w:ascii="TimesNewRomanPS-BoldMT" w:hAnsi="TimesNewRomanPS-BoldMT"/>
          <w:noProof/>
        </w:rPr>
        <w:t xml:space="preserve"> </w:t>
      </w:r>
      <w:r>
        <w:rPr>
          <w:noProof/>
        </w:rPr>
        <w:t>inkorporat il-prinċipji u l-orjentazzjonijiet tal-politika komuni tas-sajd (PKS) il-ġdida, kif stabbiliti fir-Regolament (UE) Nru 1380/2013 tal-Parlament Ewropew u tal-Kunsill</w:t>
      </w:r>
      <w:r>
        <w:rPr>
          <w:rStyle w:val="FootnoteReference"/>
          <w:noProof/>
        </w:rPr>
        <w:footnoteReference w:id="2"/>
      </w:r>
      <w:r>
        <w:rPr>
          <w:noProof/>
        </w:rPr>
        <w:t>, filwaqt li tqis ukoll l-objettivi stipulati fil-Komunikazzjoni tal-Kummissjoni dwar id-dimensjoni esterna tal-PKS</w:t>
      </w:r>
      <w:r>
        <w:rPr>
          <w:rStyle w:val="FootnoteReference"/>
          <w:noProof/>
        </w:rPr>
        <w:footnoteReference w:id="3"/>
      </w:r>
      <w:r>
        <w:rPr>
          <w:noProof/>
        </w:rPr>
        <w:t>. Barra minn hekk, irranġat il-pożizzjoni tal-Unjoni għat-Trattat ta' Liżbona.</w:t>
      </w:r>
    </w:p>
    <w:p>
      <w:pPr>
        <w:rPr>
          <w:noProof/>
        </w:rPr>
      </w:pPr>
      <w:r>
        <w:rPr>
          <w:noProof/>
        </w:rPr>
        <w:t xml:space="preserve">Ir-reviżjoni attwali tqis, b’rabta mal-impatti tas-sajd, il-Komunikazzjoni mill-Kummissjoni lill-Parlament Ewropew, lill-Kunsill, lill-Kumitat Ekonomiku u Soċjali Ewropew u lill-Kumitat tar-Reġjuni dwar </w:t>
      </w:r>
      <w:r>
        <w:rPr>
          <w:i/>
          <w:noProof/>
        </w:rPr>
        <w:t>Strateġija Ewropea għall-plastik fl-ekonomija ċirkolari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il-Komunikazzjoni Konġunta mir-Rappreżentant Għoli tal-Unjoni għall-Affarijiet Barranin u l-Politika dwar is-Sigurtà u l-Kummissjoni Ewropea dwar </w:t>
      </w:r>
      <w:r>
        <w:rPr>
          <w:i/>
          <w:noProof/>
        </w:rPr>
        <w:t>Il-governanza internazzjonali tal-oċeani: aġenda għall-futur tal-oċeani tagħna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l-konklużjonijiet tal-Kunsill dwar dik il-Komunikazzjoni Konġunta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legali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 218(9) tat-Trattat dwar il-Funzjonament tal-Unjoni Ewropea (TFUE) jipprevedi deċiżjonijiet li jistabbilixxu “l-pożizzjonijiet li għandhom jiġu adottati f'isem l-Unjoni f'sede stabbilita fi ftehim, meta dik is-sede tintalab tadotta atti li jkollhom effetti legali, sakemm dawn ma jkunux atti li jissupplimentaw jew jemendaw il-qafas istituzzjonali tal-ftehim.”</w:t>
      </w:r>
    </w:p>
    <w:p>
      <w:pPr>
        <w:rPr>
          <w:noProof/>
        </w:rPr>
      </w:pPr>
      <w:r>
        <w:rPr>
          <w:noProof/>
        </w:rPr>
        <w:t>“Atti li jkollhom effetti legali” jinkludu atti li jkollhom effetti legali bis-saħħa tar-regoli tal-liġi internazzjoni li jirregolaw il-korp in kwistjoni, u l-istrumenti li m'għandhomx effett vinkolanti skont il-liġi internazzjoniali, iżda li “jistgħu jinfluwenzaw b’mod determinanti l-kontenut tal-leġiżlazzjoni adottata mil-leġiżlatura tal-UE”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Il-Kummissjoni SPRFMO hija korp stabbilit minn ftehim, jiġifieri l-Konvenzjoni SPRFMO.</w:t>
      </w:r>
    </w:p>
    <w:p>
      <w:pPr>
        <w:rPr>
          <w:noProof/>
        </w:rPr>
      </w:pPr>
      <w:r>
        <w:rPr>
          <w:noProof/>
        </w:rPr>
        <w:t>L-atti li l-Kummissjoni SPRFMO hi mitluba tadotta jikkostitwixxu atti li għandhom effetti legali. L-atti previsti se jkunu vinkolanti skont il-liġi internazzjonali f’konformità mal-Artikolu 17 tal-Konvenzjoni SPRFMO u huma kapaċi jinfluwenzaw b’mod deċiżiv il-kontenut tal-leġiżlazzjoni tal-UE, inkluż:</w:t>
      </w:r>
    </w:p>
    <w:p>
      <w:pPr>
        <w:pStyle w:val="Bullet0"/>
        <w:numPr>
          <w:ilvl w:val="0"/>
          <w:numId w:val="13"/>
        </w:numPr>
        <w:rPr>
          <w:noProof/>
        </w:rPr>
      </w:pPr>
      <w:r>
        <w:rPr>
          <w:noProof/>
        </w:rPr>
        <w:t>Ir-Regolament tal-Kunsill (KE) Nru 1005/2008 li jistabbilixxi sistema Komunitarja sabiex tipprevjeni, tiskoraġġixxi u telimina s-sajd illegali, mhux irrappurtat u mhux regolat (IUU)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; </w:t>
      </w:r>
    </w:p>
    <w:p>
      <w:pPr>
        <w:pStyle w:val="Bullet0"/>
        <w:rPr>
          <w:noProof/>
        </w:rPr>
      </w:pPr>
      <w:r>
        <w:rPr>
          <w:noProof/>
        </w:rPr>
        <w:t>Ir-Regolament tal-Kunsill (KE) Nru 1224/2009 li jistabbilixxi sistema Komunitarja ta’ kontroll għall-iżgurar tal-konformità mar-regoli tal-Politika Komuni tas-Sajd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; u </w:t>
      </w:r>
    </w:p>
    <w:p>
      <w:pPr>
        <w:pStyle w:val="Bullet0"/>
        <w:rPr>
          <w:noProof/>
        </w:rPr>
      </w:pPr>
      <w:r>
        <w:rPr>
          <w:noProof/>
        </w:rPr>
        <w:t>Ir-Regolament (UE) 2017/2403 tal-Parlament Ewropew u tal-Kunsill tat-12 ta’ Diċembru 2017 dwar il-ġestjoni sostenibbli ta’ flotot tas-sajd esterni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L-atti previsti ma jissupplimentawx jew ma jemendawx il-qafas istituzzjonali tal-Konvenzjoni SPRFMO.</w:t>
      </w:r>
    </w:p>
    <w:p>
      <w:pPr>
        <w:rPr>
          <w:noProof/>
        </w:rPr>
      </w:pPr>
      <w:r>
        <w:rPr>
          <w:noProof/>
        </w:rPr>
        <w:t>Għalhekk, il-bażi ġuridika proċedurali għad-Deċiżjoni proposta hija l-Artikolu 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biex tittieħed Deċiżjoni skont l-Artikolu 218(9) tat-TFUE tiddependi primarjament mill-objettiv u mill-kontenut tal-att previst li fir-rigward tiegħu tittieħed pożizzjoni f’isem l-Unjoni. Jekk l-att ikollu żewġ għanijiet jew għandu żewġ komponenti, u jekk wieħed minn dawn l-għanijiet jew komponenti jkun jista’ jiġi identifikat bħala dak ewlieni, filwaqt li l-ieħor ikun sempliċiment inċidentali, id-Deċiżjoni skont l-Artikolu 218(9) tat-TFUE trid tkun imsejsa fuq bażi ġuridika sostantiva waħda, jiġifieri dik rikjesta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L-objettiv ewlieni u l-kontenut tal-att previst jirrigwardaw is-sajd. Ir-Regolament (UE) Nru 1380/2013 huwa l-bażi legali għall-istabbiliment tal-prinċipji li għandhom jiġu riflessi f'din il-pożizzjoni.</w:t>
      </w:r>
    </w:p>
    <w:p>
      <w:pPr>
        <w:rPr>
          <w:noProof/>
        </w:rPr>
      </w:pPr>
      <w:r>
        <w:rPr>
          <w:noProof/>
        </w:rPr>
        <w:t>Għalhekk, il-bażi ġuridika sostantiva għad-Deċiżjoni proposta hija l-Artikolu 43(2) tat-TFUE. Id-Deċiżjoni għandha tissostitwixxi d-Deċiżjoni 9784/17.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l-Artikolu 43(2) TFUE</w:t>
      </w:r>
      <w:r>
        <w:t>,</w:t>
      </w:r>
      <w:r>
        <w:rPr>
          <w:noProof/>
        </w:rPr>
        <w:t xml:space="preserve"> flimkien mal-Artikolu 218(9) TFUE.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2019/0053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li tikkonċerna l-pożizzjoni li għandha tittieħed f’isem l-Unjoni Ewropea, fl-Organizzazzjoni Reġjonali għall-Ġestjoni tas-Sajd fin-Nofsinhar tal-Paċifiku u li tħassar id-Deċiżjoni 9784/17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partikolari l-Artikolu 43(2)</w:t>
      </w:r>
      <w:r>
        <w:t xml:space="preserve">, </w:t>
      </w:r>
      <w:r>
        <w:rPr>
          <w:noProof/>
        </w:rPr>
        <w:t>flimkien mal-Artikolu 218(9) tiegħu,</w:t>
      </w:r>
    </w:p>
    <w:p>
      <w:pPr>
        <w:rPr>
          <w:noProof/>
        </w:rPr>
      </w:pPr>
      <w:r>
        <w:rPr>
          <w:noProof/>
        </w:rPr>
        <w:t>Wara li kkunsidra l-proposta mill-Kummissjoni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Bid-Deċiżjoni tal-Kunsill 2012/130/UE tat-3 ta' Ottubru 2011</w:t>
      </w:r>
      <w:r>
        <w:rPr>
          <w:rStyle w:val="FootnoteReference"/>
          <w:noProof/>
        </w:rPr>
        <w:footnoteReference w:id="11"/>
      </w:r>
      <w:r>
        <w:rPr>
          <w:noProof/>
        </w:rPr>
        <w:t>, l-Unjoni kkonkludiet il-Konvenzjoni dwar il-Konservazzjoni u l-Ġestjoni ta’ Riżorsi tas-Sajd f’Ibħra Miftuħa fin-Nofsinhar tal-Oċean Paċifiku (il-Konvenzjoni tal-SPRFMO), li stabbilixxiet il-Kummissjoni SPRFMO.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Il-Kummissjoni SPRFMO hija responsabbli mill-adozzjoni tal-miżuri għall-konservazzjoni u għall-ġestjoni fiż-żona biex jinkisbu l-objettivi tal-Konvenzjoni SPRFMO. Dawn il-miżuri jistgħu jsiru vinkolanti fuq l-Unjoni.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Ir-Regolament (UE) Nru 1380/2013 tal-Parlament Ewropew u tal-Kunsill</w:t>
      </w:r>
      <w:r>
        <w:rPr>
          <w:rStyle w:val="FootnoteReference"/>
          <w:noProof/>
        </w:rPr>
        <w:footnoteReference w:id="12"/>
      </w:r>
      <w:r>
        <w:rPr>
          <w:noProof/>
          <w:sz w:val="16"/>
        </w:rPr>
        <w:t xml:space="preserve"> </w:t>
      </w:r>
      <w:r>
        <w:rPr>
          <w:noProof/>
        </w:rPr>
        <w:t>jipprevedi li l-Unjoni għandha tiżgura li l-attivitajiet tas-sajd u tal-akkwakultura jkunu ambjentalment sostenibbli fit-tul u li jkunu ġestiti b’mod li huwa konsistenti mal-objettivi li jinkisbu benefiċċji ekonomiċi, soċjali u tal-impjieg, u li jikkontribwixxu għad-disponibbiltà tal-provvisti tal-ikel. Dan jipprevedi wkoll li l-Unjoni għandha tapplika l-approċċ prekawzjonarju għall-ġestjoni tas-sajd, u għandha tfittex li tiżgura li l-isfruttament tar-riżorsi bijoloġiċi ħajjin tal-baħar jirrestawra l-popolazzjoni tal-ispeċijiet mistada u jżommhom ’il fuq minn livelli li jistgħu jipproduċu r-rendiment massimu sostenibbli. Dan jipprevedi wkoll li l-Unjoni  tieħu miżuri ta’ ġestjoni u ta’ konservazzjoni bbażati fuq l-aqwa pariri xjentifiċi disponibbli, tappoġġja l-iżvilupp ta’ għarfien u pariri xjentifiċi, gradwalment telimina l-iskartar u tippromwovi metodi tas-sajd li jikkontribwixxu għal sajd aktar selettiv u l-evitar u t-tnaqqis, kemm jista' jkun, ta’ qabdiet mhux mixtieqa, u trażżan l-impatt tas-sajd fuq l-ekosistema marina u r-riżorsi tas-sajd. Barra minn hekk, ir-Regolament (UE) Nru 1380/2013 speċifikament jipprevedi li dawk l-objettivi u l-prinċipji għandhom jiġu applikati mill-Unjoni fit-twettiq tar-relazzjonijiet tas-sajd esterni tagħha.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Kif iddikjarat fil-Komunikazzjoni konġunta mir-Rappreżentant Għoli tal-Unjoni għall-Affarijiet Barranin u l-Politika ta' Sigurtà u l-Kummissjoni Ewropea dwar </w:t>
      </w:r>
      <w:r>
        <w:rPr>
          <w:i/>
          <w:noProof/>
        </w:rPr>
        <w:t>Il-Governanza Internazzjonali tal-oċeani: aġenda għall-futur tal-oċeani tagħna</w:t>
      </w:r>
      <w:r>
        <w:rPr>
          <w:rStyle w:val="FootnoteReference"/>
          <w:noProof/>
        </w:rPr>
        <w:footnoteReference w:id="13"/>
      </w:r>
      <w:r>
        <w:rPr>
          <w:i/>
          <w:noProof/>
        </w:rPr>
        <w:t xml:space="preserve">, </w:t>
      </w:r>
      <w:r>
        <w:rPr>
          <w:noProof/>
        </w:rPr>
        <w:t>u l-konklużjonijiet tal-Kunsill dwar dik il-Komunikazzjoni konġunta</w:t>
      </w:r>
      <w:r>
        <w:rPr>
          <w:rStyle w:val="FootnoteReference"/>
          <w:noProof/>
        </w:rPr>
        <w:footnoteReference w:id="14"/>
      </w:r>
      <w:r>
        <w:rPr>
          <w:noProof/>
        </w:rPr>
        <w:t>, il-promozzjoni ta' miżuri li jappoġġjaw u jtejbu l-effettività tal-organizzazzjonijiet reġjonali għall-ġestjoni tas-sajd (RFMOs) u, fejn rilevanti, itejbu l-governanza tagħhom, hija ċentrali għall-azzjoni tal-Unjoni f'dawn il-fora.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Il-Komunikazzjoni mill-Kummissjoni lill-Parlament Ewropew, lill-Kunsill, lill-Kumitat Ekonomiku u Soċjali Ewropew u lill-Kumitat tar-Reġjuni dwar </w:t>
      </w:r>
      <w:r>
        <w:rPr>
          <w:i/>
          <w:noProof/>
        </w:rPr>
        <w:t>Strateġija Ewropea għall-Plastik f’Ekonomija Ċirkolari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tirreferi għal miżuri speċifiċi sabiex jitnaqqas kemm il-plastik u t-tniġġis tal-baħar, kif ukoll it-telf jew l-abbandun il-baħar tal-irkaptu tas-sajd.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Huwa xieraq li tiġi stabbilita l-pożizzjoni li għandha tittieħed f'isem l-Unjoni fil-Kummissjoni SPRFMO għall-perjodu 2019-2023, minħabba li l-miżuri ta' konservazzjoni u infurzar tal-SPRFMO jkunu vinkolanti fuq l-Unjoni u kapaċi li deċiżivament jinfluwenzaw il-kontenut tal-liġi tal-Unjoni, jiġifieri r-Regolament tal-Kunsill (KE) Nru 1005/2008</w:t>
      </w:r>
      <w:r>
        <w:rPr>
          <w:rStyle w:val="FootnoteReference"/>
          <w:noProof/>
        </w:rPr>
        <w:footnoteReference w:id="16"/>
      </w:r>
      <w:r>
        <w:rPr>
          <w:noProof/>
        </w:rPr>
        <w:t>; ir-Regolament tal-Kunsill (KE) Nru 1224/2009</w:t>
      </w:r>
      <w:r>
        <w:rPr>
          <w:rStyle w:val="FootnoteReference"/>
          <w:noProof/>
        </w:rPr>
        <w:footnoteReference w:id="17"/>
      </w:r>
      <w:r>
        <w:rPr>
          <w:noProof/>
        </w:rPr>
        <w:t>; u r-Regolament (UE) 2017/2403 tal-Parlament Ewropew u tal-Kunsill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Id-Deċiżjoni tal-Kunsill 9784/17 ma tipprevedix rieżami tal-pożizzjoni tal-Unjoni fi ħdan il-Kummissjoni SPRFMO qabel il-laqgħa annwali tal-2022. Madankollu, il-maġġoranza l-kbira tad-Deċiżjonijiet tal-Kunsill li jistipulaw il-pożizzjoni tal-Unjoni fi ħdan l-RFMOs differenti li l-Unjoni hija parti kontraenti tagħhom, għandha ssirilhom reviżjoni qabel il-laqgħat annwali tal-2019 ta' dawk il-RFMOs. Għalhekk, biex tiġi promossa l-koerenza mtejba fil-pożizzjoni tal-Unjoni fl-RFMOs kollha u biex jiġi armonizzat il-proċess tar-reviżjoni, huwa xieraq li tiġi antiċipata r-reviżjoni tad-Deċiżjoni tal-Kunsill 9784/17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u li tiġi mħassra billi tiġi sostitwita b'Deċiżjoni ġdida għall-perjodu 2019-2023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Fid-dawl tan-natura li qed tevolvi tar-riżorsi tas-sajd fiż-żona tal-Konvenzjoni SPRFMO u l-ħtieġa konsegwenti li l-pożizzjoni tal-Unjoni tqis l-iżviluppi l-ġodda, inkluż informazzjoni xjentifika ġdida u informazzjoni rilevanti oħra imressqa qabel jew matul il-laqgħat tal-Kummissjoni tal-SPRFMO, jenħtieġ li jiġu stabbiliti proċeduri, f’konformità mal-prinċipju tal-koperazzjoni leali bejn l-istituzzjonijiet tal-Unjoni mnaqqax fl-Artikolu 13(2) tat-Trattat tal-Unjoni Ewropea (TUE), għall-ispeċifikazzjoni minn sena għal sena tal-pożizzjoni tal-Unjoni għall-perjodu 2019-2023.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Il-pożizzjoni li għandha tittieħed f'isem l-Unjoni fil-laqgħat tal-Kummissjoni tal-Organizzazzjoni Reġjonali għall-Ġestjoni tas-Sajd fin-Nofsinhar tal-Paċifiku (SPRFMO) hija stipulata fl-Anness I.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L-ispeċifikazzjoni minn sena għal sena tal-pożizzjoni tal-Unjoni li għandha tittieħed fil-laqgħat tal-Kummissjoni tal-SPRFMO għandha ssir skont l-Anness II.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Il-pożizzjoni tal-Unjoni stipulata fl-Anness I għandha tiġi vvalutata u, fejn xieraq, riveduta mill-Kunsill fuq proposta mill-Kummissjoni, l-aktar tard, għal-laqgħa annwali tal-Kummissjoni tal-SPRFMO fl-2024.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Id-Deċiżjoni 9784/17 tat-30 ta' Mejju 2017 hija mħassra.</w:t>
      </w:r>
    </w:p>
    <w:p>
      <w:pPr>
        <w:pStyle w:val="Titrearticle"/>
        <w:rPr>
          <w:noProof/>
        </w:rPr>
      </w:pPr>
      <w:r>
        <w:rPr>
          <w:noProof/>
        </w:rPr>
        <w:t>Artikolu 5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ind w:left="709" w:hanging="709"/>
      </w:pPr>
      <w:r>
        <w:rPr>
          <w:rStyle w:val="FootnoteReference"/>
        </w:rPr>
        <w:footnoteRef/>
      </w:r>
      <w:r>
        <w:tab/>
      </w:r>
      <w:r>
        <w:rPr>
          <w:sz w:val="20"/>
        </w:rPr>
        <w:t>Id-Deċiżjoni tal-Kunsill 2012/130/UE tat-3 ta' Ottubru 2011 dwar l-approvazzjoni, f'isem l-Unjoni Ewropea, tal-Konvenzjoni dwar il-Konservazzjoni u l-Ġestjoni ta' Riżorsi tas-Sajd f'Ibħra Miftuħa fin-Nofsinhar tal-Oċean Paċifiku (ĠU L 67, 6.3.2012, p. 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1380/2013 tal-Parlament Ewropew u tal-Kunsill dwar il-Politika Komuni tas-Sajd, li jemenda r-Regolamenti tal-Kunsill (KE) Nru 1954/2003 u (KE) Nru 1224/2009 u li jħassar ir-Regolamenti tal-Kunsill (KE) Nru 2371/2002 u (KE) Nru 639/2004 u d-Deċiżjoni tal-Kunsill 2004/585/KE (ĠU L 354, 28.12.2013, p. 22).</w:t>
      </w:r>
    </w:p>
  </w:footnote>
  <w:footnote w:id="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COM(2011) 424, 13.7.2011.</w:t>
      </w:r>
    </w:p>
  </w:footnote>
  <w:footnote w:id="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COM(2018) 28 finali, 16.1.2018.</w:t>
      </w:r>
    </w:p>
  </w:footnote>
  <w:footnote w:id="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JOIN(2016) 49 finali, 10.11.2016.</w:t>
      </w:r>
    </w:p>
  </w:footnote>
  <w:footnote w:id="6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7348/1/17 REV 1, 24.3.2017.</w:t>
      </w:r>
    </w:p>
  </w:footnote>
  <w:footnote w:id="7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Is-Sentenza tal-Qorti tal-Ġustizzja tas-7 ta’ Ottubru 2014, </w:t>
      </w:r>
      <w:r>
        <w:rPr>
          <w:i/>
          <w:lang w:val="pt-PT"/>
        </w:rPr>
        <w:t>Il-Ġermanja vs Il-Kunsill</w:t>
      </w:r>
      <w:r>
        <w:rPr>
          <w:lang w:val="pt-PT"/>
        </w:rPr>
        <w:t>, C-399/12, ECLI:EU:C:2014:2258, il-paragrafi 61 sa 64.</w:t>
      </w:r>
    </w:p>
  </w:footnote>
  <w:footnote w:id="8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L 286, 29.10.2008, p. 1.</w:t>
      </w:r>
    </w:p>
  </w:footnote>
  <w:footnote w:id="9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 L 343, 22.12.2009, p. 1.</w:t>
      </w:r>
    </w:p>
  </w:footnote>
  <w:footnote w:id="10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ĠU L 347, 28.12.2017, p. 81.</w:t>
      </w:r>
    </w:p>
  </w:footnote>
  <w:footnote w:id="1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Id-Deċiżjoni tal-Kunsill 2012/130/UE tat-3 ta' Ottubru 2011 dwar l-approvazzjoni, f'isem l-Unjoni Ewropea, tal-Konvenzjoni dwar il-Konservazzjoni u l-Ġestjoni ta' Riżorsi tas-Sajd f'Ibħra Miftuħa fin-Nofsinhar tal-Oċean Paċifiku (ĠU L 67, 6.3.2012, p. 1).</w:t>
      </w:r>
    </w:p>
  </w:footnote>
  <w:footnote w:id="1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Ir-Regolament (UE) Nru 1380/2013 tal-Parlament Ewropew u tal-Kunsill tal-11 ta' Diċembru 2013 dwar il-Politika Komuni tas-Sajd, li jemenda r-Regolamenti tal-Kunsill (KE) Nru 1954/2003 u (KE) Nru 1224/2009 u li jħassar ir-Regolamenti tal-Kunsill (KE) Nru 2371/2002 u (KE) Nru 639/2004 u d-Deċiżjoni tal-Kunsill 2004/585/KE (ĠU L 354, 28.12.2013, p. 22).</w:t>
      </w:r>
    </w:p>
  </w:footnote>
  <w:footnote w:id="1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JOIN(2016) 49 finali tal-10.11.2016.</w:t>
      </w:r>
    </w:p>
  </w:footnote>
  <w:footnote w:id="1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7348/1/17 REV 1 tal-24.3.2017.</w:t>
      </w:r>
    </w:p>
  </w:footnote>
  <w:footnote w:id="15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COM(2018) 28 finali, 16.1.2018.</w:t>
      </w:r>
    </w:p>
  </w:footnote>
  <w:footnote w:id="16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Ir-Regolament tal-Kunsill (KE) Nru 1005/2008 li jistabbilixxi sistema Komunitarja sabiex tipprevjeni, tiskoraġġixxi u telimina sajd illegali, mhux irrappurtat u mhux irregolat, li jemenda r-Regolamenti (KEE) Nru 2847/93, (KE) Nru 1936/2001 u (KE) Nru 601/2004 u li jħassar ir-Regolamenti (KE) Nru 1093/94 u (KE) Nru 1447/1999 (ĠU L 286, 29.10.2008, p. 1).</w:t>
      </w:r>
    </w:p>
  </w:footnote>
  <w:footnote w:id="17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Ir-Regolament tal-Kunsill (KE) Nru 1224/2009 tal-20 ta' Novembru 2009 li jistabbilixxi sistema Komunitarja ta' kontroll għall-iżgurar tal-konformità mar-regoli tal-Politika Komuni tas-Sajd, li jemenda r-Regolamenti (KE) Nru 847/96, (KE) Nru 2371/2002, (KE) Nru 811/2004, (KE) Nru 768/2005, (KE) Nru 2115/2005, (KE) Nru 2166/2005, (KE) Nru 388/2006, (KE) Nru 509/2007, (KE) Nru 676/2007, (KE) Nru 1098/2007, (KE) Nru 1300/2008, (KE) Nru 1342/2008 u li jħassar ir-Regolamenti (KEE) Nru 2847/93, (KE) Nru 1627/94 u (KE) Nru 1966/2006 (ĠU L 343, 22.12.2009, p. 1).</w:t>
      </w:r>
    </w:p>
  </w:footnote>
  <w:footnote w:id="18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Ir-Regolament (UE) 2017/2403 tal-Parlament Ewropew u tal-Kunsill tat-12 ta' Diċembru 2017 dwar il-ġestjoni sostenibbli ta' flotot tas-sajd esterni, u li jħassar ir-Regolament tal-Kunsill (KE) Nru 1006/2008 (ĠU L 347, 28.12.2017, p. 81).</w:t>
      </w:r>
    </w:p>
  </w:footnote>
  <w:footnote w:id="19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Id-Deċiżjoni tal-Kunsill tat-30 ta' Mejju 2017 li tistipula l-pożizzjoni li għandha tiġi adottata f'isem l-Unjoni Ewropea, fl-Organizzazzjoni Reġjonali għall-Ġestjoni tas-Sajd fin-Nofsinhar tal-Paċifiku (SPRFMO) u li tħassar id-Deċiżjoni tal-Kunsill tal-25 ta' Ottubru 2012 dwar l-istabbiliment tal-pożizzjoni tal-Unjoni li għandha tiġi adottata fl-Organizzazzjoni Reġjonali għall-Ġestjoni tas-Sajd fin-Nofsinhar tal-Paċifiku.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AE437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9898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6D626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89A61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B4E57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00E3D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34048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E1EA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15"/>
  </w:num>
  <w:num w:numId="12">
    <w:abstractNumId w:val="22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9"/>
  </w:num>
  <w:num w:numId="15">
    <w:abstractNumId w:val="12"/>
  </w:num>
  <w:num w:numId="16">
    <w:abstractNumId w:val="21"/>
  </w:num>
  <w:num w:numId="17">
    <w:abstractNumId w:val="11"/>
  </w:num>
  <w:num w:numId="18">
    <w:abstractNumId w:val="13"/>
  </w:num>
  <w:num w:numId="19">
    <w:abstractNumId w:val="9"/>
  </w:num>
  <w:num w:numId="20">
    <w:abstractNumId w:val="20"/>
  </w:num>
  <w:num w:numId="21">
    <w:abstractNumId w:val="8"/>
  </w:num>
  <w:num w:numId="22">
    <w:abstractNumId w:val="14"/>
  </w:num>
  <w:num w:numId="23">
    <w:abstractNumId w:val="17"/>
  </w:num>
  <w:num w:numId="24">
    <w:abstractNumId w:val="18"/>
  </w:num>
  <w:num w:numId="25">
    <w:abstractNumId w:val="10"/>
  </w:num>
  <w:num w:numId="26">
    <w:abstractNumId w:val="16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1 15:06:44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506D85C-B2C0-4FC8-BE91-AD8966DDBE6D"/>
    <w:docVar w:name="LW_COVERPAGE_TYPE" w:val="1"/>
    <w:docVar w:name="LW_CROSSREFERENCE" w:val="&lt;UNUSED&gt;"/>
    <w:docVar w:name="LW_DocType" w:val="COM"/>
    <w:docVar w:name="LW_EMISSION" w:val="6.3.2019"/>
    <w:docVar w:name="LW_EMISSION_ISODATE" w:val="2019-03-06"/>
    <w:docVar w:name="LW_EMISSION_LOCATION" w:val="BRX"/>
    <w:docVar w:name="LW_EMISSION_PREFIX" w:val="Brussell, "/>
    <w:docVar w:name="LW_EMISSION_SUFFIX" w:val="&lt;EMPTY&gt;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53"/>
    <w:docVar w:name="LW_REF.II.NEW.CP_YEAR" w:val="2019"/>
    <w:docVar w:name="LW_REF.INST.NEW" w:val="COM"/>
    <w:docVar w:name="LW_REF.INST.NEW_ADOPTED" w:val="final"/>
    <w:docVar w:name="LW_REF.INST.NEW_TEXT" w:val="(2019) 9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tikkon\u267?erna l-po\u380?izzjoni li g\u295?andha tittie\u295?ed f\u8217?isem l-Unjoni Ewropea, fl-Organizzazzjoni Re\u289?jonali g\u295?all-\u288?estjoni tas-Sajd fin-Nofsinhar tal-Pa\u267?ifiku u li t\u295?assar id-De\u267?i\u380?joni 9784/17"/>
    <w:docVar w:name="LW_TYPE.DOC.CP" w:val="DE\u266?I\u379?JONI TAL-KUNSILL"/>
    <w:docVar w:name="Stamp" w:val="\\dossiers.dgt.cec.eu.int\dossiers\MARE\MARE-2018-00541\MARE-2018-00541-00-10-EN-EDT-00.201812071235038541971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1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1">
    <w:name w:val="Dash 1"/>
    <w:basedOn w:val="Normal"/>
    <w:pPr>
      <w:numPr>
        <w:numId w:val="11"/>
      </w:numPr>
      <w:spacing w:line="360" w:lineRule="auto"/>
      <w:jc w:val="left"/>
      <w:outlineLvl w:val="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F616-B34A-4DFE-9FFD-A308FBB2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7</Pages>
  <Words>1591</Words>
  <Characters>12289</Characters>
  <Application>Microsoft Office Word</Application>
  <DocSecurity>0</DocSecurity>
  <Lines>204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dcterms:created xsi:type="dcterms:W3CDTF">2019-02-07T14:32:00Z</dcterms:created>
  <dcterms:modified xsi:type="dcterms:W3CDTF">2019-03-01T14:06:00Z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