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A45102C-B5A5-4AA1-B6AA-DCA7F812D28F"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I LISA</w:t>
      </w:r>
    </w:p>
    <w:p>
      <w:pPr>
        <w:pStyle w:val="Header"/>
        <w:jc w:val="center"/>
        <w:rPr>
          <w:b/>
          <w:noProof/>
        </w:rPr>
      </w:pPr>
      <w:r>
        <w:rPr>
          <w:noProof/>
        </w:rPr>
        <w:t>Liidu nimel Vaikse ookeani lõunaosa piirkondlikus kalandusorganisatsioonis (SPRFMO) võetav seisukoht</w:t>
      </w:r>
    </w:p>
    <w:p>
      <w:pPr>
        <w:pStyle w:val="Heading1"/>
        <w:numPr>
          <w:ilvl w:val="0"/>
          <w:numId w:val="5"/>
        </w:numPr>
        <w:rPr>
          <w:noProof/>
        </w:rPr>
      </w:pPr>
      <w:r>
        <w:rPr>
          <w:noProof/>
        </w:rPr>
        <w:t>PÕHIMÕTTED</w:t>
      </w:r>
    </w:p>
    <w:p>
      <w:pPr>
        <w:rPr>
          <w:noProof/>
        </w:rPr>
      </w:pPr>
      <w:r>
        <w:rPr>
          <w:noProof/>
        </w:rPr>
        <w:t>Euroopa Liit teeb SPRFMO raames järgmist:</w:t>
      </w:r>
    </w:p>
    <w:p>
      <w:pPr>
        <w:pStyle w:val="Point0"/>
        <w:rPr>
          <w:noProof/>
        </w:rPr>
      </w:pPr>
      <w:r>
        <w:rPr>
          <w:noProof/>
        </w:rPr>
        <w:t xml:space="preserve">a) </w:t>
      </w:r>
      <w:r>
        <w:rPr>
          <w:noProof/>
        </w:rPr>
        <w:tab/>
        <w:t>tegutseb vastavalt liidu eesmärkidele ja põhimõtetele ühise kalanduspoliitika (ÜKP) raames, kohaldades eelkõige ettevaatusprintsiibil põhinevat lähenemisviisi ja määruse (EL) nr 1380/2013 artikli 2 lõikes 2 sätestatud maksimaalse jätkusuutliku saagikusega seotud eesmärke, et edendada ökosüsteemipõhise lähenemisviisi rakendamist kalavarude majandamisel ning vältida ja vähendada võimalikult palju soovimatut saaki ja kaotada järk-järgult saagi tagasiheitmine ning minimeerida kalapüügi mõju mereökosüsteemidele ja kalade elupaikadele ning võimaldada majanduslikult elujõulise ja konkurentsivõimelise liidu kalanduse edendamise kaudu rahuldav elatustase kalapüügist sõltuvale elanikkonnale ning võtta arvesse tarbijate huve;</w:t>
      </w:r>
    </w:p>
    <w:p>
      <w:pPr>
        <w:pStyle w:val="Point0"/>
        <w:rPr>
          <w:noProof/>
        </w:rPr>
      </w:pPr>
      <w:r>
        <w:rPr>
          <w:noProof/>
        </w:rPr>
        <w:t xml:space="preserve">b) </w:t>
      </w:r>
      <w:r>
        <w:rPr>
          <w:noProof/>
        </w:rPr>
        <w:tab/>
        <w:t>töötab sidusrühmade asjakohase kaasamise nimel SPRFMO meetmete ettevalmistusetapis ja tagab, et SPRFMO raames vastu võetud meetmed on kooskõlas SPRFMO konventsiooni eesmärkidega;</w:t>
      </w:r>
    </w:p>
    <w:p>
      <w:pPr>
        <w:pStyle w:val="Point0"/>
        <w:rPr>
          <w:noProof/>
        </w:rPr>
      </w:pPr>
      <w:r>
        <w:rPr>
          <w:noProof/>
        </w:rPr>
        <w:t xml:space="preserve">c) </w:t>
      </w:r>
      <w:r>
        <w:rPr>
          <w:noProof/>
        </w:rPr>
        <w:tab/>
        <w:t>tagab, et SPRFMOs vastu võetud meetmed on kooskõlas rahvusvahelise õigusega, eelkõige ÜRO mereõiguse konventsiooniga (1982), ÜRO piirialade kalavarude ja pika rändega liikide varude kaitset ja majandamist käsitleva kokkuleppega (1995) ning kokkuleppega, millega ergutatakse avamerekalalaevu täitma rahvusvahelisi kaitse- ja majandamiseeskirju (1993) ning ÜRO Toidu- ja Põllumajandusorganisatsiooni sadamariigi meetmeid käsitleva kokkuleppega (2009);</w:t>
      </w:r>
    </w:p>
    <w:p>
      <w:pPr>
        <w:pStyle w:val="Point0"/>
        <w:rPr>
          <w:noProof/>
        </w:rPr>
      </w:pPr>
      <w:r>
        <w:rPr>
          <w:noProof/>
        </w:rPr>
        <w:t xml:space="preserve">d) </w:t>
      </w:r>
      <w:r>
        <w:rPr>
          <w:noProof/>
        </w:rPr>
        <w:tab/>
        <w:t>toetab seisukohti, mis on kooskõlas sama piirkonna piirkondlike kalandusorganisatsioonide parimate tavadega;</w:t>
      </w:r>
    </w:p>
    <w:p>
      <w:pPr>
        <w:pStyle w:val="Point0"/>
        <w:rPr>
          <w:noProof/>
          <w:szCs w:val="24"/>
        </w:rPr>
      </w:pPr>
      <w:r>
        <w:rPr>
          <w:noProof/>
        </w:rPr>
        <w:t xml:space="preserve">e) </w:t>
      </w:r>
      <w:r>
        <w:rPr>
          <w:noProof/>
        </w:rPr>
        <w:tab/>
        <w:t>taotleb kooskõla ja koostoimet liidu poliitikaga, mis moodustab osa kahepoolsetest kalandussuhetest kolmandate riikidega, ja tagab kooskõla muude valdkondade poliitikaga, eelkõige välissuhete, tööhõive, keskkonna, kaubanduse, arendustegevuse ning teadus- ja uuendustegevuse valdkonnas;</w:t>
      </w:r>
    </w:p>
    <w:p>
      <w:pPr>
        <w:pStyle w:val="Point0"/>
        <w:rPr>
          <w:noProof/>
          <w:szCs w:val="24"/>
        </w:rPr>
      </w:pPr>
      <w:r>
        <w:rPr>
          <w:noProof/>
        </w:rPr>
        <w:t>f)</w:t>
      </w:r>
      <w:r>
        <w:rPr>
          <w:noProof/>
        </w:rPr>
        <w:tab/>
        <w:t>tagab liidu rahvusvaheliste kohustuste järgimise;</w:t>
      </w:r>
    </w:p>
    <w:p>
      <w:pPr>
        <w:pStyle w:val="Point0"/>
        <w:rPr>
          <w:noProof/>
          <w:szCs w:val="24"/>
        </w:rPr>
      </w:pPr>
      <w:r>
        <w:rPr>
          <w:noProof/>
        </w:rPr>
        <w:t xml:space="preserve">g) </w:t>
      </w:r>
      <w:r>
        <w:rPr>
          <w:noProof/>
        </w:rPr>
        <w:tab/>
        <w:t>järgib nõukogu 19. märtsi 2012. aasta järeldusi, milles käsitletakse komisjoni teatist ühise kalanduspoliitika välismõõtme kohta</w:t>
      </w:r>
      <w:r>
        <w:rPr>
          <w:rStyle w:val="FootnoteReference"/>
          <w:noProof/>
        </w:rPr>
        <w:footnoteReference w:id="1"/>
      </w:r>
      <w:r>
        <w:rPr>
          <w:noProof/>
        </w:rPr>
        <w:t>;</w:t>
      </w:r>
    </w:p>
    <w:p>
      <w:pPr>
        <w:pStyle w:val="Point0"/>
        <w:rPr>
          <w:noProof/>
          <w:szCs w:val="24"/>
        </w:rPr>
      </w:pPr>
      <w:r>
        <w:rPr>
          <w:noProof/>
        </w:rPr>
        <w:t xml:space="preserve">h) </w:t>
      </w:r>
      <w:r>
        <w:rPr>
          <w:noProof/>
        </w:rPr>
        <w:tab/>
        <w:t>seab eesmärgiks luua liidu kalalaevadele SPRFMO konventsiooni kohaldamisalal võrdsed võimalused, mis põhinevad samadel põhimõtetel ja standarditel, mida kohaldatakse liidu õiguse alusel, ning edendab kõnealuste põhimõtete ja standardite ühetaolist rakendamist;</w:t>
      </w:r>
    </w:p>
    <w:p>
      <w:pPr>
        <w:pStyle w:val="Point0"/>
        <w:rPr>
          <w:noProof/>
          <w:szCs w:val="24"/>
        </w:rPr>
      </w:pPr>
      <w:r>
        <w:rPr>
          <w:noProof/>
        </w:rPr>
        <w:t xml:space="preserve">i) </w:t>
      </w:r>
      <w:r>
        <w:rPr>
          <w:noProof/>
        </w:rPr>
        <w:tab/>
        <w:t>lähtub liidu välisasjade ja julgeolekupoliitika kõrge esindaja ning komisjoni ühisteatisest „Rahvusvaheline ookeanide majandamine: Ookeanide tulevikku hõlmav kava“</w:t>
      </w:r>
      <w:r>
        <w:rPr>
          <w:rStyle w:val="FootnoteReference"/>
          <w:noProof/>
        </w:rPr>
        <w:footnoteReference w:id="2"/>
      </w:r>
      <w:r>
        <w:rPr>
          <w:noProof/>
        </w:rPr>
        <w:t xml:space="preserve"> ja nõukogu järeldustest kõnealuse ühisteatise kohta</w:t>
      </w:r>
      <w:r>
        <w:rPr>
          <w:rStyle w:val="FootnoteReference"/>
          <w:noProof/>
        </w:rPr>
        <w:footnoteReference w:id="3"/>
      </w:r>
      <w:r>
        <w:rPr>
          <w:noProof/>
        </w:rPr>
        <w:t xml:space="preserve"> ning toetab meetmeid SPRFMO toetamiseks ja selle tõhususe suurendamiseks ning vajaduse korral parandab selle juhtimist ja toimimist (eelkõige teaduse, eeskirjade järgimise, läbipaistvuse ja otsustamise vallas); aidates kaasa ookeanide säästvale majandamisele kõigis selle mõõtmetes;</w:t>
      </w:r>
    </w:p>
    <w:p>
      <w:pPr>
        <w:pStyle w:val="Point0"/>
        <w:rPr>
          <w:noProof/>
          <w:szCs w:val="24"/>
        </w:rPr>
      </w:pPr>
      <w:r>
        <w:rPr>
          <w:noProof/>
        </w:rPr>
        <w:t xml:space="preserve">j) </w:t>
      </w:r>
      <w:r>
        <w:rPr>
          <w:noProof/>
        </w:rPr>
        <w:tab/>
        <w:t xml:space="preserve">edendab vajaduse korral piirkondlike kalandusorganisatsioonide ja piirkondlike merekonventsioonide vahelist kooskõlastamist ning koostööd üleilmsete organisatsioonidega nende volituste piires; </w:t>
      </w:r>
    </w:p>
    <w:p>
      <w:pPr>
        <w:pStyle w:val="Point0"/>
        <w:rPr>
          <w:noProof/>
          <w:szCs w:val="24"/>
        </w:rPr>
      </w:pPr>
      <w:r>
        <w:rPr>
          <w:noProof/>
        </w:rPr>
        <w:t>k)</w:t>
      </w:r>
      <w:r>
        <w:rPr>
          <w:noProof/>
        </w:rPr>
        <w:tab/>
        <w:t>edendab muude kui tuunivarusid majandavate piirkondlike kalandusorganisatsioonide koostöömehhanisme, mis sarnanevad tuunikalaga tegelevate piirkondlike kalandusorganisatsioonide nn Kobe protsessile.</w:t>
      </w:r>
    </w:p>
    <w:p>
      <w:pPr>
        <w:pStyle w:val="Heading1"/>
        <w:rPr>
          <w:noProof/>
        </w:rPr>
      </w:pPr>
      <w:r>
        <w:rPr>
          <w:noProof/>
        </w:rPr>
        <w:t>TEGEVUSSUUNAD</w:t>
      </w:r>
    </w:p>
    <w:p>
      <w:pPr>
        <w:autoSpaceDE w:val="0"/>
        <w:autoSpaceDN w:val="0"/>
        <w:adjustRightInd w:val="0"/>
        <w:spacing w:before="0" w:after="0"/>
        <w:rPr>
          <w:noProof/>
        </w:rPr>
      </w:pPr>
      <w:r>
        <w:rPr>
          <w:noProof/>
        </w:rPr>
        <w:t>Euroopa Liit püüab vajaduse korral toetada järgmiste meetmete võtmist SPRFMO poolt:</w:t>
      </w:r>
    </w:p>
    <w:p>
      <w:pPr>
        <w:pStyle w:val="Point0"/>
        <w:rPr>
          <w:noProof/>
        </w:rPr>
      </w:pPr>
      <w:r>
        <w:rPr>
          <w:noProof/>
        </w:rPr>
        <w:t xml:space="preserve">a) </w:t>
      </w:r>
      <w:r>
        <w:rPr>
          <w:noProof/>
        </w:rPr>
        <w:tab/>
        <w:t>konventsiooni alal kalavarude kaitse- ja majandamismeetmed, mis põhinevad parimatel olemasolevatel teaduslikel nõuannetel, sealhulgas lubatud kogupüük ja kvoodid või mere bioloogiliste elusressursside püügikoormuse reguleerimine SPRFMO poolt, millega saavutataks hiljemalt 2020. aastaks võimalikult kiiresti ja järk-järgult tõusvalt maksimaalne jätkusuutlik saagikus. Vajaduse korral hõlmavad kõnealused kaitse- ja majandamismeetmed erimeetmeid ülepüügi all kannatavate kalavarude kaitseks, et hoida püügikoormus kooskõlas olemasolevate kalapüügivõimalustega;</w:t>
      </w:r>
    </w:p>
    <w:p>
      <w:pPr>
        <w:pStyle w:val="Point0"/>
        <w:rPr>
          <w:noProof/>
        </w:rPr>
      </w:pPr>
      <w:r>
        <w:rPr>
          <w:noProof/>
        </w:rPr>
        <w:t xml:space="preserve">b) </w:t>
      </w:r>
      <w:r>
        <w:rPr>
          <w:noProof/>
        </w:rPr>
        <w:tab/>
        <w:t>meetmed ebaseadusliku, teatamata ja reguleerimata kalapüügi vältimiseks, ärahoidmiseks ja lõpetamiseks konventsioonialas, sealhulgas ebaseadusliku, teatamata ja reguleerimata kalapüügiga tegelevate laevade nimekirja koostamine;</w:t>
      </w:r>
    </w:p>
    <w:p>
      <w:pPr>
        <w:pStyle w:val="Point0"/>
        <w:rPr>
          <w:noProof/>
        </w:rPr>
      </w:pPr>
      <w:r>
        <w:rPr>
          <w:noProof/>
        </w:rPr>
        <w:t xml:space="preserve">c) </w:t>
      </w:r>
      <w:r>
        <w:rPr>
          <w:noProof/>
        </w:rPr>
        <w:tab/>
        <w:t>seire-, kontrolli- ja järelevalvemeetmed konventsioonialas, et tagada SPRFMOs vastu võetud meetmete järgimine ja tõhus kontroll;</w:t>
      </w:r>
    </w:p>
    <w:p>
      <w:pPr>
        <w:pStyle w:val="Point0"/>
        <w:rPr>
          <w:noProof/>
        </w:rPr>
      </w:pPr>
      <w:r>
        <w:rPr>
          <w:noProof/>
        </w:rPr>
        <w:t xml:space="preserve">d) </w:t>
      </w:r>
      <w:r>
        <w:rPr>
          <w:noProof/>
        </w:rPr>
        <w:tab/>
        <w:t>meetmed püügitegevuse negatiivse mõju vähendamiseks mere bioloogilisele mitmekesisusele ning mereökosüsteemidele ja kalade elupaikadele, sealhulgas meetmed, millega vähendatakse merereostust ja välditakse plasti merreheitmist ning vähendatakse meres oleva plasti mõju mere bioloogilisele mitmekesisusele ja mereökosüsteemidele, SPRFMO konventsiooni ning ÜRO Toidu- ja Põllumajandusorganisatsiooni (FAO) avamerel süvamerekalapüügi korraldamise rahvusvaheliste suuniste kohased ohualdiste mereökosüsteemide kaitsemeetmed SPRFMO konventsiooni alal, meetmed soovimatu püügi võimalikult suureks vältimiseks ja vähendamiseks, sealhulgas ohualdiste mereliikide puhul, ja tagasiheite järkjärguliseks likvideerimiseks;</w:t>
      </w:r>
    </w:p>
    <w:p>
      <w:pPr>
        <w:pStyle w:val="Point0"/>
        <w:rPr>
          <w:noProof/>
        </w:rPr>
      </w:pPr>
      <w:r>
        <w:rPr>
          <w:noProof/>
        </w:rPr>
        <w:t>e)</w:t>
      </w:r>
      <w:r>
        <w:rPr>
          <w:noProof/>
        </w:rPr>
        <w:tab/>
        <w:t>meetmed, et vähendada mahajäetud, kaotatud või muul moel kõrvaleheidetud püügivahendite mõju ookeanile ning lihtsustada selliste vahendite avastamist ja eemaldamist;</w:t>
      </w:r>
    </w:p>
    <w:p>
      <w:pPr>
        <w:pStyle w:val="Point0"/>
        <w:rPr>
          <w:noProof/>
        </w:rPr>
      </w:pPr>
      <w:r>
        <w:rPr>
          <w:noProof/>
        </w:rPr>
        <w:t xml:space="preserve">f) </w:t>
      </w:r>
      <w:r>
        <w:rPr>
          <w:noProof/>
        </w:rPr>
        <w:tab/>
        <w:t>meetmed sellise kalapüügi keelamiseks, mille ainus eesmärk on haiuimede kogumine, ning nõude kehtestamiseks, et kõik haid tuleb lossida ühes tükis koos uimedega;</w:t>
      </w:r>
    </w:p>
    <w:p>
      <w:pPr>
        <w:pStyle w:val="Point0"/>
        <w:rPr>
          <w:noProof/>
        </w:rPr>
      </w:pPr>
      <w:r>
        <w:rPr>
          <w:noProof/>
        </w:rPr>
        <w:t>h)</w:t>
      </w:r>
      <w:r>
        <w:rPr>
          <w:noProof/>
        </w:rPr>
        <w:tab/>
        <w:t>vajaduse korral soovitused, et asjaomaste alusdokumentidega ettenähtud võimaluste piires edendada Rahvusvahelise Tööorganisatsiooni (ILO) kalandustöö konventsiooni rakendamist;</w:t>
      </w:r>
    </w:p>
    <w:p>
      <w:pPr>
        <w:pStyle w:val="Point0"/>
        <w:rPr>
          <w:noProof/>
        </w:rPr>
      </w:pPr>
      <w:r>
        <w:rPr>
          <w:noProof/>
        </w:rPr>
        <w:t>i)</w:t>
      </w:r>
      <w:r>
        <w:rPr>
          <w:noProof/>
        </w:rPr>
        <w:tab/>
        <w:t>vajaduse korral ühiste seisukohtade arendamine teiste piirkondlike kalandusorganisatsioonidega, eelkõige nendega, kes tegelevad kalavarude majandamisega samas piirkonnas;</w:t>
      </w:r>
    </w:p>
    <w:p>
      <w:pPr>
        <w:pStyle w:val="Point0"/>
        <w:rPr>
          <w:noProof/>
        </w:rPr>
      </w:pPr>
      <w:r>
        <w:rPr>
          <w:noProof/>
        </w:rPr>
        <w:t xml:space="preserve">j) </w:t>
      </w:r>
      <w:r>
        <w:rPr>
          <w:noProof/>
        </w:rPr>
        <w:tab/>
        <w:t xml:space="preserve">täiendavad tehnilised meetmed, mis põhinevad SPRFMO allorganite ja töörühmade nõuannetel.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II LISA</w:t>
      </w:r>
    </w:p>
    <w:p>
      <w:pPr>
        <w:jc w:val="center"/>
        <w:rPr>
          <w:rFonts w:eastAsia="Calibri"/>
          <w:b/>
          <w:noProof/>
          <w:szCs w:val="20"/>
          <w:u w:val="single"/>
        </w:rPr>
      </w:pPr>
      <w:r>
        <w:rPr>
          <w:b/>
          <w:noProof/>
          <w:u w:val="single"/>
        </w:rPr>
        <w:t>Vaikse ookeani lõunaosa piirkondliku kalandusorganisatsiooni koosolekutel</w:t>
      </w:r>
    </w:p>
    <w:p>
      <w:pPr>
        <w:jc w:val="center"/>
        <w:rPr>
          <w:rFonts w:eastAsia="Calibri"/>
          <w:b/>
          <w:noProof/>
          <w:szCs w:val="20"/>
          <w:u w:val="single"/>
        </w:rPr>
      </w:pPr>
      <w:r>
        <w:rPr>
          <w:b/>
          <w:noProof/>
          <w:u w:val="single"/>
        </w:rPr>
        <w:t xml:space="preserve">võetava liidu seisukoha iga-aastane täpsustus </w:t>
      </w:r>
    </w:p>
    <w:p>
      <w:pPr>
        <w:jc w:val="center"/>
        <w:rPr>
          <w:rFonts w:eastAsia="Calibri"/>
          <w:b/>
          <w:i/>
          <w:strike/>
          <w:noProof/>
          <w:szCs w:val="20"/>
          <w:u w:val="single"/>
        </w:rPr>
      </w:pPr>
    </w:p>
    <w:p>
      <w:pPr>
        <w:rPr>
          <w:rFonts w:eastAsia="Calibri"/>
          <w:noProof/>
          <w:szCs w:val="20"/>
        </w:rPr>
      </w:pPr>
      <w:r>
        <w:rPr>
          <w:noProof/>
        </w:rPr>
        <w:t>Enne SPRFMO iga koosolekut, kui kõnealust organit kutsutakse üles vastu võtma liidule õiguslikke tagajärgi tekitavaid otsuseid, võetakse vajalikud meetmed, et liidu nimel vastavalt I lisas sätestatud põhimõtetele ja suunistele väljendatavas seisukohas võetaks arvesse viimaseid teaduslikke ja muid asjakohaseid andmeid, mis on edastatud Euroopa Komisjonile.</w:t>
      </w:r>
    </w:p>
    <w:p>
      <w:pPr>
        <w:rPr>
          <w:rFonts w:eastAsia="Calibri"/>
          <w:noProof/>
          <w:szCs w:val="20"/>
        </w:rPr>
      </w:pPr>
      <w:r>
        <w:rPr>
          <w:noProof/>
        </w:rPr>
        <w:t>Sel eesmärgil ja nimetatud teabele tuginedes edastab Euroopa Komisjon nõukogule või selle ettevalmistavatele organitele piisavalt varakult enne SPRFMO komisjoni iga koosolekut kirjaliku dokumendi, milles esitatakse liidu seisukoha kavandatud täpsustused, et neid arutada ja kiita heaks liidu nimel väljendatava seisukoha üksikasjad.</w:t>
      </w:r>
    </w:p>
    <w:p>
      <w:pPr>
        <w:rPr>
          <w:rFonts w:eastAsia="Calibri"/>
          <w:noProof/>
          <w:szCs w:val="20"/>
        </w:rPr>
      </w:pPr>
      <w:r>
        <w:rPr>
          <w:noProof/>
        </w:rPr>
        <w:t>Kui SPRFMO komisjoni koosoleku käigus ei ole võimalik saavutada (sh kohapealset) kokkulepet, et võtta liidu seisukohas arvesse uusi elemente, edastatakse küsimus lahendamiseks nõukogule või selle ettevalmistavatele organitele.</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(lõplik), 10.11.2016.</w:t>
      </w:r>
    </w:p>
  </w:footnote>
  <w:footnote w:id="3">
    <w:p>
      <w:pPr>
        <w:pStyle w:val="FootnoteText"/>
        <w:rPr>
          <w:lang w:val="en-US"/>
        </w:rPr>
      </w:pPr>
      <w:r>
        <w:rPr>
          <w:rStyle w:val="FootnoteReference"/>
        </w:rPr>
        <w:footnoteRef/>
      </w:r>
      <w:r>
        <w:tab/>
        <w:t>7348/1/17 REV 1,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6CD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04F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F926D8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528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7: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2"/>
    <w:docVar w:name="LW_ANNEX_UNIQUE" w:val="0"/>
    <w:docVar w:name="LW_CORRIGENDUM" w:val="&lt;UNUSED&gt;"/>
    <w:docVar w:name="LW_COVERPAGE_EXISTS" w:val="True"/>
    <w:docVar w:name="LW_COVERPAGE_GUID" w:val="0A45102C-B5A5-4AA1-B6AA-DCA7F812D28F"/>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üssel,"/>
    <w:docVar w:name="LW_EMISSION_SUFFIX" w:val="&lt;EMPTY&gt;"/>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lles käsitletakse Euroopa Liidu nimel Vaikse ookeani lõunaosa piirkondlikus kalandusorganisatsioonis võetavat seisukohta ning millega tunnistatakse kehtetuks otsus 9784/17"/>
    <w:docVar w:name="LW_OBJETACTEPRINCIPAL.CP" w:val="milles käsitletakse Euroopa Liidu nimel Vaikse ookeani lõunaosa piirkondlikus kalandusorganisatsioonis võetavat seisukohta ning millega tunnistatakse kehtetuks otsus 9784/17"/>
    <w:docVar w:name="LW_PART_NBR" w:val="&lt;UNUSED&gt;"/>
    <w:docVar w:name="LW_PART_NBR_TOTAL" w:val="&lt;UNUSED&gt;"/>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SAD"/>
    <w:docVar w:name="LW_TYPE.DOC.CP" w:val="LISAD"/>
    <w:docVar w:name="LW_TYPEACTEPRINCIPAL" w:val="Ettepanek: Nõukogu otsus, "/>
    <w:docVar w:name="LW_TYPEACTEPRINCIPAL.CP" w:val="Ettepanek: Nõukogu otsus,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754</Words>
  <Characters>6112</Characters>
  <Application>Microsoft Office Word</Application>
  <DocSecurity>0</DocSecurity>
  <Lines>109</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2019-02-27T10:36:00Z</dcterms:created>
  <dcterms:modified xsi:type="dcterms:W3CDTF">2019-03-01T14:07:00Z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