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CAF6C32-596E-4D9B-BADF-171AC215A7FE" style="width:450.35pt;height:383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 I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>Il-pożizzjoni li għandha tiġi adottata, f’isem l-Unjoni, fil-Kummissjoni dwar it-Tonn tal-Oċean tal-Indja (IOTC)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Fil-qafas tal-IOTC, l-Unjoni għandha: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taġixxi f’konformità mal-objettivi u l-prinċipji tal-Unjoni fi ħdan il-qafas tal-Politika Komuni tas-Sajd (PKS), b'mod partikolari permezz tal-approċċ prekawzjonarju u l-miri relatati mar-rendiment massimu sostenibbli kif stipulat fl-Artikolu 2(2) tar-Regolament (UE) Nru 1380/2013, biex tkun promossa l-implimentazzjoni ta' approċċ ibbażat fuq l-ekosistema għall-ġestjoni tas-sajd, biex jiġu evitati jew jitnaqqsu kemm jista' jkun qabdiet mhux mixtieqa, u jiġi eliminat gradwalment il-qbid skartat, u biex jiġi minimizzat l-impatt tal-attivitajiet tas-sajd fuq l-ekosistemi tal-baħar u l-ħabitats tagħhom, kif ukoll, permezz tal-promozzjoni ta' sajd ekonomikament vijabbli u kompetittiv tal-Unjoni, biex ikun provdut livell tal-għajxien ġust għal dawk li jiddependu minn attivitajiet relatati mas-sajd u jitqiesu l-interessi tal-konsumaturi;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taħdem lejn involviment xieraq tal-partijiet ikkonċernati fil-fażi ta’ preparazzjoni għal miżuri tal-IOTC u tiżgura li l-miżuri adottati fi ħdan l-IOTC huma skont il-Ftehim tal-IOTC;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tiżgura li l-miżuri adottati fi ħdan l-IOTC huma konsistenti mad-dritt internazzjonali, u partikolarment mad-dispożizzjonijiet tal-Konvenzjoni tan-NU dwar id-Dritt tal-Baħar tal-1982, mal-Ftehim tan-NU relatat mal-Konservazzjoni u l-Ġestjoni ta' Stokkijiet ta' Ħut Transżonali u Stokkijiet ta’ Ħut li Jpassi Ħafna tal-1995 u mal-Ftehim li jippromwovi l-konformità mal-miżuri internazzjonali ta' konservazzjoni u ġestjoni mill-bastimenti tas-sajd fl-ibħra miftuħa tal-1993 u l-Ftehim dwar il-Miżuri tal-Organizzazzjoni tal-Ikel u tal-Agrikoltura tal-Istat tal-Port tal-2009;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tippromwovi pożizzjonijiet konsistenti mal-aħjar prattiki tal-organizzazzjonijiet reġjonali għall-ġestjoni tas-sajd (RFMOs) fl-istess żona;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e) </w:t>
      </w:r>
      <w:r>
        <w:rPr>
          <w:noProof/>
        </w:rPr>
        <w:tab/>
        <w:t>tfittex konsistenza u sinerġija mal-politika li qed issegwi l-Unjoni bħala parti mir-relazzjonijiet bilaterali tas-sajd tagħha ma’ pajjiżi terzi, u tiżgura l-koerenza mal-politiki l-oħrajn tagħha, b’mod partikolari fl-oqsma tar-relazzjonijiet esterni, l-impjiegi, l-ambjent, il-kummerċ, l-iżvilupp, ir-riċerka u l-innovazzjoni;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tiżgura li l-impenji internazzjonali tal-Unjoni jiġu rispettati;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ab/>
        <w:t>tikkonforma mal-Konklużjonijiet tal-Kunsill tad-19 ta’ Marzu 2012 dwar il-Komunikazzjoni tal-Kummissjoni dwar id-dimensjoni Esterna tal-Politika Komuni tas-Sajd</w:t>
      </w:r>
      <w:r>
        <w:rPr>
          <w:rStyle w:val="FootnoteReference"/>
          <w:noProof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h) </w:t>
      </w:r>
      <w:r>
        <w:rPr>
          <w:noProof/>
        </w:rPr>
        <w:tab/>
        <w:t>timmira li toħloq kundizzjonijiet ekwi għall-flotta tal-Unjoni fi ħdan iż-żona tal-Ftehim tal-IOTC abbażi tal-istess prinċipji u standards bħal dawk applikabbli skont id-dritt tal-Unjoni, u li tippromwovi l-implimentazzjoni uniformi ta’ dawk il-prinċipji u l-istandards;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i) </w:t>
      </w:r>
      <w:r>
        <w:rPr>
          <w:noProof/>
        </w:rPr>
        <w:tab/>
        <w:t>tikkonforma mal-Komunikazzjoni Konġunta mir-Rappreżentant Għoli tal-Unjoni għall-Affarijiet Barranin u l-Politika ta’ Sigurtà u l-Kummissjoni Ewropea dwar “</w:t>
      </w:r>
      <w:r>
        <w:rPr>
          <w:i/>
          <w:noProof/>
        </w:rPr>
        <w:t>Il-governanza internazzjonali tal-oċeani: aġenda għall-futur tal-oċeani tagħna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kif </w:t>
      </w:r>
      <w:r>
        <w:rPr>
          <w:noProof/>
        </w:rPr>
        <w:lastRenderedPageBreak/>
        <w:t>ukoll il-konklużjonijiet tal-Kunsill dwar dik il-Komunikazzjoni konġunta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tippromwovi miżuri biex jappoġġjaw u jsaħħu l-effettività tal-IOTC u, fejn rilevanti, itejbu l-governanza u l-prestazzjoni tagħha (b’mod partikolari fir-rigward tax-xjenza, tal-konformità, tat-trasparenza u tat-teħid ta’ deċiżjonijiet) bħala kontribut għall-ġestjoni sostenibbli tal-oċeani fid-dimensjonijiet kollha tagħha;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j) </w:t>
      </w:r>
      <w:r>
        <w:rPr>
          <w:noProof/>
        </w:rPr>
        <w:tab/>
        <w:t>tippromwovi, kif xieraq, il-koordinazzjoni bejn l-RFMOs u l-konvenzjonijiet reġjonali tal-baħar (RSCs) u l-kooperazzjoni ma’ organizzazzjonijiet globali, kif applikabbli, skont il-mandati tagħhom;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k) </w:t>
      </w:r>
      <w:r>
        <w:rPr>
          <w:noProof/>
        </w:rPr>
        <w:tab/>
        <w:t>tippromwovi l-koordinazzjoni u l-kooperazzjoni ma’ RFMOs tat-tonn oħrajn dwar kwistjonijiet ta’ interess komuni, b’mod partikolari permezz tar-riattivazzjoni tal-hekk imsejjaħ proċess Kobe għall-RFMOs tat-tonn u l-estensjoni tiegħu għall-RFMOs kollha.</w:t>
      </w:r>
    </w:p>
    <w:p>
      <w:pPr>
        <w:pStyle w:val="Heading1"/>
        <w:rPr>
          <w:noProof/>
        </w:rPr>
      </w:pPr>
      <w:r>
        <w:rPr>
          <w:noProof/>
        </w:rPr>
        <w:t>ORJENTAZZJONIJIET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L-Unjoni għandha, fejn xieraq, tagħmel ħilitha sabiex tappoġġa l-adozzjoni mill-IOTC tal-azzjonijiet li ġejjin: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miżuri ta’ konservazzjoni u ġestjoni għar-riżorsi tas-sajd fiż-żona tal-Ftehim tal-IOTC abbażi tal-aqwa parir xjentifiku disponibbli, inklużi l-qabdiet totali permissibbli (TACs) u l-kwoti, jew ir-regolazzjoni tal-isforz għal riżorsi bijoloġiċi tal-baħar ħajjin li huma regolati mill-IOTC, li jistgħu jiksbu r-rata tal-isfruttar tar-rendiment sostenibbli massimu fuq bażi progressiva u inkrementali sa mhux iktar tard mill-2020. Fejn meħtieġ, għandhom jitqiesu miżuri speċifiċi għal stokkijiet li huma soġġetti għal sajd żejjed biex l-isforz tas-sajd jinżamm konformi mal-opportunitajiet tas-sajd disponibbli;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 xml:space="preserve">miżuri biex jipprevjenu, jiskoraġġixxu u jeliminaw </w:t>
      </w:r>
      <w:r>
        <w:rPr>
          <w:noProof/>
          <w:sz w:val="23"/>
        </w:rPr>
        <w:t>attivitajiet tas-sajd illegali, mhux irrappurtati u mhux irregolati</w:t>
      </w:r>
      <w:r>
        <w:rPr>
          <w:noProof/>
        </w:rPr>
        <w:t xml:space="preserve"> (IUU) fiż-żona tal-Ftehim tal-IOTC, inkuż l-elenkar tal-bastimenti IUU;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miżuri ta’ monitoraġġ, kontroll u sorveljanza fiż-żona tal-Ftehim tal-IOTC biex jiġu żgurati l-effiċjenza tal-kontroll u l-konformità mal-miżuri adottati fi ħdan l-IOTC;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miżuri biex jimminimizzaw l-impatt negattiv tal-attivitajiet tas-sajd fuq il-bijodiversità tal-baħar u l-ekosistemi tal-baħar u l-ħabitats tagħhom, inklużi miżuri biex inaqqsu t-tniġġis tal-baħar u jipprevjenu r-rimi ta’ plastik fil-baħar u jnaqqsu l-impatt tal-plastik preżenti fil-baħar fuq il-bijodiversità u l-ekosistemi tal-baħar, miżuri protettivi għal ekosistemi tal-baħar sensittivi fiż-żona tal-Ftehim tal-IOTC f’konformità mar-Riżoluzzjonijiet UNGA, u miżuri biex jiġu evitati u jitnaqqsu kemm jista’ jkun il-qabdiet mhux mixtieqa, inkluż b’mod partikolari speċijiet tal-baħar vulnerabbli, u biex jiġi eliminat gradwalment il-qbid skartat;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miżuri sabiex jiġi ġestit l-użu ta’ rkaptu biex jinġema’ l-ħut (FADs) b'mod partikolari biex jittejjeb il-ġbir tad-</w:t>
      </w:r>
      <w:r>
        <w:rPr>
          <w:i/>
          <w:noProof/>
        </w:rPr>
        <w:t>data</w:t>
      </w:r>
      <w:r>
        <w:rPr>
          <w:noProof/>
        </w:rPr>
        <w:t>, biex jiġi kwantifikat, traċċat u mmonitorjat b’mod preċiż l-użu tal-FADs, biex jitnaqqas l-impatt fuq stokkijiet tat-tonn vulnerabbli, biex jitnaqqsu l-effetti potenzjali tagħhom fuq speċijiet fil-mira u mhux fil-mira, kif ukoll fuq l-ekosistema, u biex titnaqqas il-kontribuzzjoni għall-materjal skartat tal-baħar;</w:t>
      </w:r>
    </w:p>
    <w:p>
      <w:pPr>
        <w:pStyle w:val="Point0"/>
        <w:rPr>
          <w:noProof/>
        </w:rPr>
      </w:pPr>
      <w:r>
        <w:rPr>
          <w:noProof/>
        </w:rPr>
        <w:lastRenderedPageBreak/>
        <w:t>f)</w:t>
      </w:r>
      <w:r>
        <w:rPr>
          <w:noProof/>
        </w:rPr>
        <w:tab/>
        <w:t>miżuri biex inaqqsu l-impatt ta’ rkaptu abbandunat, mitluf jew inkella skartat (ALDFG) fl-oċean u biex jiffaċilitaw l-identifikazzjoni u l-irkupru ta’ tagħmir bħal dan;</w:t>
      </w:r>
    </w:p>
    <w:p>
      <w:pPr>
        <w:pStyle w:val="Point0"/>
        <w:rPr>
          <w:noProof/>
        </w:rPr>
      </w:pPr>
      <w:r>
        <w:rPr>
          <w:noProof/>
        </w:rPr>
        <w:t xml:space="preserve">g) </w:t>
      </w:r>
      <w:r>
        <w:rPr>
          <w:noProof/>
        </w:rPr>
        <w:tab/>
        <w:t>miżuri li l-għan tagħhom huwa li jipprojbixxu s-sajd imwettaq biss bl-iskop tal-ġbir ta’ xewk tal-klieb il-baħar u, li jirrikjedu li l-klieb il-baħar kollha jitħattew l-art b’kull xewka mwaħħla magħhom b’mod naturali;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rakkomandazzjonijiet, fejn xieraq u sal-punt permess fid-dokumenti kostitwenti relevanti, li jħeġġu l-implimentazzjoni tal-Konvenzjoni dwar ix-Xogħol fis-Sajd tal-Organizzazzjoni Internazzjonali tax-Xogħol (ILO);</w:t>
      </w:r>
    </w:p>
    <w:p>
      <w:pPr>
        <w:pStyle w:val="Point0"/>
        <w:rPr>
          <w:noProof/>
        </w:rPr>
      </w:pPr>
      <w:r>
        <w:rPr>
          <w:noProof/>
        </w:rPr>
        <w:t xml:space="preserve">i) </w:t>
      </w:r>
      <w:r>
        <w:rPr>
          <w:noProof/>
        </w:rPr>
        <w:tab/>
        <w:t xml:space="preserve">miżuri tekniċi addizzjonali abbażi tal-parir mill-korpi u mill-gruppi ta’ ħidma tal-IOTC. 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ANNESS II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>L-ispeċifikazzjoni minn sena għal sena tal-pożizzjoni tal-Unjoni li għandha tittieħed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 xml:space="preserve">fil-laqgħat tal-Kummissjoni dwar it-Tonn tal-Oċean tal-Indja 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Qabel kull laqgħa annwali tal-IOTC, meta dak il-korp jintalab jadotta deċiżjonijiet li jkollhom effetti legali fuq l-Unjoni, għandhom jittieħdu l-passi meħtieġa biex il-pożizzjoni li għandha tiġi espressa f'isem l-Unjoni tqis l-aktar informazzjoni xjentifika u informazzjoni rilevanti oħra mibgħuta lill-Kummissjoni f'konformità mal-prinċipji u l-orjentazzjonijiet stabbiliti fl-Anness 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Għal dan il-għan, u abbażi ta’ dik l-informazzjoni, il-Kummissjoni għandha tibgħat lill-Kunsill, jew lill-korpi preparatorji tiegħu fi żmien suffiċjenti qabel kull laqgħa tal-IOTC, dokument bil-miktub li jistabbilixxi d-dettalji tal-ispeċifikazzjoni proposta tal-pożizzjoni tal-Unjoni għad-diskussjoni u l-approvazzjoni tad-dettalji tal-pożizzjoni li għandha tiġi espressa f’isem l-Unjoni.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Jekk waqt laqgħa tal-IOTC, inkluż dik fuq il-post, ma jkunx jista’ jintlaħaq qbil, sabiex il-pożizzjoni tal-Unjoni tqis l-elementi l-ġodda, il-kwistjoni għandha tiġi referuta lill-Kunsill jew lill-korpi preparatorji tiegħu.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7087/12 REV 1 ADD 1 COR 1.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 49 final, 10.11.2016.</w:t>
      </w:r>
    </w:p>
  </w:footnote>
  <w:footnote w:id="3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7348/1/17 REV 1, 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49CD7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9DAA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374BA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6DC7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6 09:39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CCAF6C32-596E-4D9B-BADF-171AC215A7FE"/>
    <w:docVar w:name="LW_COVERPAGE_TYPE" w:val="1"/>
    <w:docVar w:name="LW_CROSSREFERENCE" w:val="&lt;UNUSED&gt;"/>
    <w:docVar w:name="LW_DocType" w:val="ANNEX"/>
    <w:docVar w:name="LW_EMISSION" w:val="6.3.2019"/>
    <w:docVar w:name="LW_EMISSION_ISODATE" w:val="2019-03-06"/>
    <w:docVar w:name="LW_EMISSION_LOCATION" w:val="BRX"/>
    <w:docVar w:name="LW_EMISSION_PREFIX" w:val="Brussell, 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g\u295?andha tittie\u295?ed, f\u8217?isem l-Unjoni Ewropea, fil-Kummissjoni dwar it-Tonn tal-O\u267?ean tal-Indja u li t\u295?assar id-De\u267?i\u380?joni 9398/1/14 REV 1"/>
    <w:docVar w:name="LW_OBJETACTEPRINCIPAL.CP" w:val="dwar il-po\u380?izzjoni li g\u295?andha tittie\u295?ed, f\u8217?isem l-Unjoni Ewropea, fil-Kummissjoni dwar it-Tonn tal-O\u267?ean tal-Indja u li t\u295?assar id-De\u267?i\u380?joni 9398/1/14 REV 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I"/>
    <w:docVar w:name="LW_TYPE.DOC.CP" w:val="ANNESSI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941</Words>
  <Characters>7008</Characters>
  <Application>Microsoft Office Word</Application>
  <DocSecurity>0</DocSecurity>
  <Lines>114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2019-02-27T08:19:00Z</dcterms:created>
  <dcterms:modified xsi:type="dcterms:W3CDTF">2019-03-06T08:39:00Z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