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85510D26-C93A-498A-9E09-87827B4F55E3" style="width:450.75pt;height:410.2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>I. MELLÉKLET</w:t>
      </w:r>
    </w:p>
    <w:p>
      <w:pPr>
        <w:pStyle w:val="Header"/>
        <w:jc w:val="center"/>
        <w:rPr>
          <w:b/>
          <w:noProof/>
        </w:rPr>
      </w:pPr>
      <w:r>
        <w:rPr>
          <w:noProof/>
        </w:rPr>
        <w:t>Az Unió által az Indiai-óceáni Tonhalbizottságban (IOTC) képviselendő álláspont</w:t>
      </w:r>
    </w:p>
    <w:p>
      <w:pPr>
        <w:pStyle w:val="Heading1"/>
        <w:numPr>
          <w:ilvl w:val="0"/>
          <w:numId w:val="5"/>
        </w:numPr>
        <w:rPr>
          <w:noProof/>
        </w:rPr>
      </w:pPr>
      <w:r>
        <w:rPr>
          <w:noProof/>
        </w:rPr>
        <w:t>ELVEK</w:t>
      </w:r>
    </w:p>
    <w:p>
      <w:pPr>
        <w:rPr>
          <w:noProof/>
        </w:rPr>
      </w:pPr>
      <w:r>
        <w:rPr>
          <w:noProof/>
        </w:rPr>
        <w:t>Az IOTC keretében az Unió: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azoknak a célkitűzéseknek és elveknek megfelelően jár el, amelyeket az Unió a közös halászati politika keretében követ, elsősorban az elővigyázatossági megközelítés és az 1380/2013/EU rendelet 2. cikkének (2) bekezdése szerinti, a maximális fenntartható hozamhoz kapcsolódó célkitűzések útján, a következők érdekében: a halászati gazdálkodás ökoszisztéma-alapú megközelítésének előmozdítása, a nem szándékos fogások lehető legnagyobb mértékű elkerülése és csökkentése, a visszadobás gyakorlatának fokozatos felszámolása, a halászat által a tengeri ökoszisztémákra és azok élőhelyeire gyakorolt hatások minimalizálása, valamint – a gazdaságilag életképes és versenyképes uniós halászat támogatása révén – a halászatból élők megfelelő életszínvonalának biztosítása és a fogyasztók érdekeinek figyelembevétele;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elősegíti az érdekelt felek megfelelő szerepvállalását az IOTC-intézkedések előkészítő szakaszában és gondoskodik arról, hogy az IOTC által elfogadott intézkedések összhangban legyenek az IOTC-megállapodással;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gondoskodik arról, hogy az IOTC által elfogadott intézkedések összhangban legyenek a nemzetközi joggal, különösen az ENSZ 1982. évi Tengerjogi Egyezményével, a kizárólagos gazdasági övezeteken túlnyúló halállományok és a hosszú távon vándorló halállományok védelméről és kezeléséről szóló 1995. évi ENSZ-megállapodással, a nemzetközi védelmi és gazdálkodási intézkedések nyílt tengeri halászhajók általi betartásának előmozdításáról szóló 1993. évi megállapodással, valamint a kikötő szerinti államok intézkedéseiről szóló 2009. évi FAO-megállapodással;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olyan álláspontokat képvisel, amelyek összhangban állnak más regionális halászati gazdálkodási szervezetek adott területen már bevált módszereivel;</w:t>
      </w:r>
    </w:p>
    <w:p>
      <w:pPr>
        <w:pStyle w:val="Point0"/>
        <w:rPr>
          <w:noProof/>
          <w:szCs w:val="24"/>
        </w:rPr>
      </w:pPr>
      <w:r>
        <w:rPr>
          <w:noProof/>
        </w:rPr>
        <w:t>e)</w:t>
      </w:r>
      <w:r>
        <w:rPr>
          <w:noProof/>
        </w:rPr>
        <w:tab/>
        <w:t>következetességre és szinergiára törekszik a harmadik országokkal fenntartott kétoldalú halászati kapcsolatok keretében követett politikájával, és biztosítja az összhangot az egyéb uniós politikákkal, elsősorban a külkapcsolatok, a foglalkoztatás, a környezetvédelem, a kereskedelem, a fejlesztés, a kutatás és az innováció területén;</w:t>
      </w:r>
    </w:p>
    <w:p>
      <w:pPr>
        <w:pStyle w:val="Point0"/>
        <w:rPr>
          <w:noProof/>
          <w:szCs w:val="24"/>
        </w:rPr>
      </w:pPr>
      <w:r>
        <w:rPr>
          <w:noProof/>
        </w:rPr>
        <w:t>f)</w:t>
      </w:r>
      <w:r>
        <w:rPr>
          <w:noProof/>
        </w:rPr>
        <w:tab/>
        <w:t>gondoskodik arról, hogy eleget tegyen nemzetközi kötelezettségvállalásainak;</w:t>
      </w:r>
    </w:p>
    <w:p>
      <w:pPr>
        <w:pStyle w:val="Point0"/>
        <w:rPr>
          <w:noProof/>
          <w:szCs w:val="24"/>
        </w:rPr>
      </w:pPr>
      <w:r>
        <w:rPr>
          <w:noProof/>
        </w:rPr>
        <w:t>g)</w:t>
      </w:r>
      <w:r>
        <w:rPr>
          <w:noProof/>
        </w:rPr>
        <w:tab/>
        <w:t>a közös halászati politika külpolitikai vetületéről szóló bizottsági közleménnyel kapcsolatos 2012. március 19-i tanácsi következtetésekkel</w:t>
      </w:r>
      <w:r>
        <w:rPr>
          <w:rStyle w:val="FootnoteReference"/>
          <w:noProof/>
          <w:szCs w:val="24"/>
        </w:rPr>
        <w:footnoteReference w:id="1"/>
      </w:r>
      <w:r>
        <w:rPr>
          <w:noProof/>
        </w:rPr>
        <w:t xml:space="preserve"> összhangban végzi tevékenységét;</w:t>
      </w:r>
    </w:p>
    <w:p>
      <w:pPr>
        <w:pStyle w:val="Point0"/>
        <w:rPr>
          <w:noProof/>
          <w:szCs w:val="24"/>
        </w:rPr>
      </w:pPr>
      <w:r>
        <w:rPr>
          <w:noProof/>
        </w:rPr>
        <w:t>h)</w:t>
      </w:r>
      <w:r>
        <w:rPr>
          <w:noProof/>
        </w:rPr>
        <w:tab/>
        <w:t>arra törekszik, hogy egyenlő versenyfeltételeket teremtsen az uniós flotta számára az IOTC-megállapodás hatálya alá tartozó területen, az uniós jog szerint alkalmazandóakkal megegyező elvek és normák alapján, valamint törekszik ezen elvek és normák egységes végrehajtásának előmozdítására;</w:t>
      </w:r>
    </w:p>
    <w:p>
      <w:pPr>
        <w:pStyle w:val="Point0"/>
        <w:rPr>
          <w:noProof/>
          <w:szCs w:val="24"/>
        </w:rPr>
      </w:pPr>
      <w:r>
        <w:rPr>
          <w:noProof/>
        </w:rPr>
        <w:t>i)</w:t>
      </w:r>
      <w:r>
        <w:rPr>
          <w:noProof/>
        </w:rPr>
        <w:tab/>
        <w:t xml:space="preserve">összhangban jár el az Unió külügyi és biztonságpolitikai főképviselőjének és az Európai Bizottságnak a </w:t>
      </w:r>
      <w:r>
        <w:rPr>
          <w:i/>
          <w:noProof/>
        </w:rPr>
        <w:t>„Nemzetközi óceánpolitikai irányítás: az óceánjaink jövőjét biztosító menetrend”</w:t>
      </w:r>
      <w:r>
        <w:rPr>
          <w:noProof/>
        </w:rPr>
        <w:t xml:space="preserve"> című közös közleményével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és a hozzá kapcsolódó tanácsi következtetésekkel</w:t>
      </w:r>
      <w:r>
        <w:rPr>
          <w:rStyle w:val="FootnoteReference"/>
          <w:noProof/>
        </w:rPr>
        <w:footnoteReference w:id="3"/>
      </w:r>
      <w:r>
        <w:rPr>
          <w:noProof/>
        </w:rPr>
        <w:t>, továbbá előmozdítja az IOTC hatékonyságának támogatását és fokozását, valamint – adott esetben – a szóban forgó szervezet irányításának és teljesítőképességének javítását szolgáló intézkedéseket (különösen a tudományosság, a szabályszerűség, az átláthatóság és a döntéshozatal tekintetében), ily módon hozzájárulva az óceánok minden szempontból fenntartható kezeléséhez;</w:t>
      </w:r>
    </w:p>
    <w:p>
      <w:pPr>
        <w:pStyle w:val="Point0"/>
        <w:rPr>
          <w:noProof/>
          <w:szCs w:val="24"/>
        </w:rPr>
      </w:pPr>
      <w:r>
        <w:rPr>
          <w:noProof/>
        </w:rPr>
        <w:t>j)</w:t>
      </w:r>
      <w:r>
        <w:rPr>
          <w:rFonts w:ascii="TimesNewRomanPSMT" w:hAnsi="TimesNewRomanPSMT"/>
          <w:noProof/>
          <w:szCs w:val="24"/>
        </w:rPr>
        <w:tab/>
      </w:r>
      <w:r>
        <w:rPr>
          <w:noProof/>
        </w:rPr>
        <w:t>elősegíti a regionális halászati gazdálkodási szervezetek és a regionális tengeri egyezmények közötti koordinációt, valamint adott esetben ezeknek – saját megbízatásuk keretein belül – a globális szervezetekkel folytatott együttműködését;</w:t>
      </w:r>
    </w:p>
    <w:p>
      <w:pPr>
        <w:pStyle w:val="Point0"/>
        <w:rPr>
          <w:noProof/>
          <w:szCs w:val="24"/>
        </w:rPr>
      </w:pPr>
      <w:r>
        <w:rPr>
          <w:noProof/>
        </w:rPr>
        <w:t>k)</w:t>
      </w:r>
      <w:r>
        <w:rPr>
          <w:noProof/>
        </w:rPr>
        <w:tab/>
        <w:t>elősegíti a tonhallal foglalkozó egyéb regionális halászati gazdálkodási szervezetekkel folytatott koordinációt és együttműködést, nevezetesen a tonhallal foglalkozó regionális halászati gazdálkodási szervezetekre vonatkozó úgynevezett kobei folyamat újraaktiválása, illetve minden regionális halászati gazdálkodási szervezetre való kiterjesztése révén.</w:t>
      </w:r>
    </w:p>
    <w:p>
      <w:pPr>
        <w:pStyle w:val="Heading1"/>
        <w:rPr>
          <w:noProof/>
        </w:rPr>
      </w:pPr>
      <w:r>
        <w:rPr>
          <w:noProof/>
        </w:rPr>
        <w:t>IRÁNYVONALAK</w:t>
      </w:r>
    </w:p>
    <w:p>
      <w:pPr>
        <w:autoSpaceDE w:val="0"/>
        <w:autoSpaceDN w:val="0"/>
        <w:adjustRightInd w:val="0"/>
        <w:spacing w:before="0" w:after="0"/>
        <w:rPr>
          <w:noProof/>
        </w:rPr>
      </w:pPr>
      <w:r>
        <w:rPr>
          <w:noProof/>
        </w:rPr>
        <w:t>Az Unió – adott esetben – törekszik annak támogatására, hogy az IOTC elfogadja az alábbi intézkedéseket: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az IOTC-megállapodás hatálya alá tartozó terület halászati erőforrásai vonatkozásában a rendelkezésre álló legjobb tudományos szakvéleményeken alapuló állományvédelmi és -gazdálkodási intézkedések, beleértve az IOTC által szabályozott élő biológiai erőforrásokra vonatkozó teljes kifogható mennyiségeket (TAC) és kvótákat vagy erőkifejtést érintő szabályozásokat, amelyek legkésőbb 2020-ig fokozatosan, egyre növekvő jelleggel biztosítják a maximális fenntartható hozam szerinti kiaknázást. Szükség esetén a túlhalászott állományokra vonatkozóan célzott intézkedéseket kell hozni annak érdekében, hogy a halászati erőkifejtés összhangba kerüljön a rendelkezésre álló halászati lehetőségekkel;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a jogellenes, be nem jelentett és szabályozatlan halászat megelőzésére, megakadályozására és felszámolására irányuló intézkedések az IOTC-megállapodás hatálya alá tartozó területen, többek között a jogellenes, be nem jelentett és szabályozatlan halászatot folytató hajók feketelistáinak összeállítása;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az IOTC-megállapodás hatálya alá tartozó területre vonatkozó nyomonkövetési, ellenőrzési és felügyeleti intézkedések az ellenőrzés hatékonyságának és az IOTC által elfogadott intézkedések betartásának biztosítása érdekében;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a halászati tevékenységek tengeri biodiverzitásra, valamint tengeri ökoszisztémákra és azok élőhelyeire gyakorolt negatív hatásainak minimalizálását célzó intézkedések, beleértve a tengeri szennyezés csökkentésére és a műanyagok tengerbe ürítésének megakadályozására, illetve a már tengerbe került műanyagok tengeri biodiverzitásra és ökoszisztémákra gyakorolt hatásának csökkentésére irányuló intézkedéseket, az ENSZ-közgyűlés határozataival összhangban az IOTC-megállapodás hatálya alá tartozó terület veszélyeztetett tengeri ökoszisztémáinak védelmét szolgáló intézkedéseket, valamint a nem szándékos fogások – beleértve különösen a veszélyeztetett tengeri fajokat – lehető legnagyobb mértékű elkerülésére és csökkentésére, valamint a visszadobás gyakorlatának fokozatos felszámolására irányuló intézkedéseket;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>a halcsoportosulást előidéző eszközök (FAD-ok) használatával kapcsolatos intézkedések, nevezetesen az adatgyűjtés javítását, a FAD-használat pontos felmérését, nyomon követését és figyelését, a veszélyeztetett tonhalállományra gyakorolt hatásának csökkentését, az összes célfajra és nem célfajra, valamint az ökoszisztémákra gyakorolt lehetséges hatásainak mérséklését, továbbá a tengeri hulladék keletkezését mérséklő intézkedések;</w:t>
      </w:r>
    </w:p>
    <w:p>
      <w:pPr>
        <w:pStyle w:val="Point0"/>
        <w:rPr>
          <w:noProof/>
        </w:rPr>
      </w:pPr>
      <w:r>
        <w:rPr>
          <w:noProof/>
        </w:rPr>
        <w:t>f)</w:t>
      </w:r>
      <w:r>
        <w:rPr>
          <w:noProof/>
        </w:rPr>
        <w:tab/>
        <w:t>hátrahagyott, elveszített vagy más módon az óceánba juttatott halászeszközök hatását csökkentő és az ilyen eszközök azonosítását és begyűjtését megkönnyítő intézkedések;</w:t>
      </w:r>
    </w:p>
    <w:p>
      <w:pPr>
        <w:pStyle w:val="Point0"/>
        <w:rPr>
          <w:noProof/>
        </w:rPr>
      </w:pPr>
      <w:r>
        <w:rPr>
          <w:noProof/>
        </w:rPr>
        <w:t>g)</w:t>
      </w:r>
      <w:r>
        <w:rPr>
          <w:noProof/>
        </w:rPr>
        <w:tab/>
        <w:t>a kizárólag cápauszonyok zsákmányolására irányuló halászat betiltására irányuló intézkedések és a kifogott cápák uszonyostul való kirakodásának előírása;</w:t>
      </w:r>
    </w:p>
    <w:p>
      <w:pPr>
        <w:pStyle w:val="Point0"/>
        <w:rPr>
          <w:noProof/>
        </w:rPr>
      </w:pPr>
      <w:r>
        <w:rPr>
          <w:noProof/>
        </w:rPr>
        <w:t>h)</w:t>
      </w:r>
      <w:r>
        <w:rPr>
          <w:noProof/>
        </w:rPr>
        <w:tab/>
        <w:t>adott esetben és a vonatkozó alapító okmányok által megengedett keretek között a Nemzetközi Munkaügyi Szervezet (ILO) halászati munkaügyi egyezményének végrehajtását ösztönző ajánlások;</w:t>
      </w:r>
    </w:p>
    <w:p>
      <w:pPr>
        <w:pStyle w:val="Point0"/>
        <w:rPr>
          <w:noProof/>
        </w:rPr>
      </w:pPr>
      <w:r>
        <w:rPr>
          <w:noProof/>
        </w:rPr>
        <w:t>i)</w:t>
      </w:r>
      <w:r>
        <w:rPr>
          <w:noProof/>
        </w:rPr>
        <w:tab/>
        <w:t xml:space="preserve">kiegészítő technikai intézkedések az IOTC kisegítő testületei és munkacsoportjai által kibocsátott ajánlások alapján. 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II. MELLÉKLET</w:t>
      </w:r>
    </w:p>
    <w:p>
      <w:pPr>
        <w:jc w:val="center"/>
        <w:rPr>
          <w:rFonts w:eastAsia="Calibri"/>
          <w:b/>
          <w:noProof/>
          <w:szCs w:val="20"/>
          <w:u w:val="single"/>
        </w:rPr>
      </w:pPr>
      <w:r>
        <w:rPr>
          <w:b/>
          <w:noProof/>
          <w:szCs w:val="20"/>
          <w:u w:val="single"/>
        </w:rPr>
        <w:t>Az Indiai-óceáni Tonhalbizottság ülésein</w:t>
      </w:r>
    </w:p>
    <w:p>
      <w:pPr>
        <w:jc w:val="center"/>
        <w:rPr>
          <w:rFonts w:eastAsia="Calibri"/>
          <w:b/>
          <w:noProof/>
          <w:szCs w:val="20"/>
          <w:u w:val="single"/>
        </w:rPr>
      </w:pPr>
      <w:r>
        <w:rPr>
          <w:b/>
          <w:noProof/>
          <w:szCs w:val="20"/>
          <w:u w:val="single"/>
        </w:rPr>
        <w:t>képviselendő uniós álláspont évenkénti meghatározása</w:t>
      </w:r>
    </w:p>
    <w:p>
      <w:pPr>
        <w:jc w:val="center"/>
        <w:rPr>
          <w:rFonts w:eastAsia="Calibri"/>
          <w:b/>
          <w:i/>
          <w:strike/>
          <w:noProof/>
          <w:szCs w:val="20"/>
          <w:u w:val="single"/>
          <w:lang w:eastAsia="en-GB"/>
        </w:rPr>
      </w:pPr>
    </w:p>
    <w:p>
      <w:pPr>
        <w:rPr>
          <w:rFonts w:eastAsia="Calibri"/>
          <w:noProof/>
          <w:szCs w:val="20"/>
        </w:rPr>
      </w:pPr>
      <w:r>
        <w:rPr>
          <w:noProof/>
        </w:rPr>
        <w:t>Az IOTC minden olyan ülése előtt, ahol e szervnek az Unióra joghatással bíró határozatot kell elfogadnia, gondoskodni kell arról, hogy az Unió által képviselendő álláspont az I. mellékletben meghatározott alapelvek és irányvonalak tiszteletben tartása mellett figyelembe vegye a Bizottsághoz eljuttatott legújabb tudományos és egyéb releváns információkat.</w:t>
      </w:r>
    </w:p>
    <w:p>
      <w:pPr>
        <w:rPr>
          <w:rFonts w:eastAsia="Calibri"/>
          <w:noProof/>
          <w:szCs w:val="20"/>
        </w:rPr>
      </w:pPr>
      <w:r>
        <w:rPr>
          <w:noProof/>
        </w:rPr>
        <w:t>Ennek érdekében a Bizottság az IOTC minden ülése előtt kellő időben eljuttatja a Tanácshoz vagy annak előkészítő szerveihez az említett információk figyelembevételével javasolható uniós álláspont részletes írásos ismertetését, amelyet a Tanács megvitat, majd elfogadja az Unió által képviselendő álláspont részleteit.</w:t>
      </w:r>
    </w:p>
    <w:p>
      <w:pPr>
        <w:rPr>
          <w:rFonts w:eastAsia="Calibri"/>
          <w:noProof/>
          <w:szCs w:val="20"/>
        </w:rPr>
      </w:pPr>
      <w:r>
        <w:rPr>
          <w:noProof/>
        </w:rPr>
        <w:t>Amennyiben az IOTC valamely ülése során nem sikerül – akár már a helyszínen – megállapodásra jutni, akkor az új elemeket is figyelembe vevő uniós álláspont kialakítása érdekében a kérdést vissza kell utalni a Tanács vagy előkészítői szervei elé.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7087/12 REV 1 ADD 1 COR 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JOIN(2016) 49 final, 2016.11.10.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7348/1/17 REV 1, 2017.3.24.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49CD7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9DAA6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374BA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884D0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62469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A5866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6DC7B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BF49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3-06 09:39:1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következ\u337?höz:"/>
    <w:docVar w:name="LW_ACCOMPAGNANT.CP" w:val="a következ\u337?höz: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85510D26-C93A-498A-9E09-87827B4F55E3"/>
    <w:docVar w:name="LW_COVERPAGE_TYPE" w:val="1"/>
    <w:docVar w:name="LW_CROSSREFERENCE" w:val="&lt;UNUSED&gt;"/>
    <w:docVar w:name="LW_DocType" w:val="ANNEX"/>
    <w:docVar w:name="LW_EMISSION" w:val="2019.3.6."/>
    <w:docVar w:name="LW_EMISSION_ISODATE" w:val="2019-03-06"/>
    <w:docVar w:name="LW_EMISSION_LOCATION" w:val="BRX"/>
    <w:docVar w:name="LW_EMISSION_PREFIX" w:val="Brüsszel, "/>
    <w:docVar w:name="LW_EMISSION_SUFFIX" w:val="&lt;EMPTY&gt;"/>
    <w:docVar w:name="LW_ID_DOCSTRUCTURE" w:val="COM/ANNEX"/>
    <w:docVar w:name="LW_ID_DOCTYPE" w:val="SG-01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" w:val="az Európai Unió által az Indiai-óceáni Tonhalbizottságban képviselend\u337? álláspontról és a 9398/1/14 REV 1 határozat hatályon kívül helyezésér\u337?l_x000b_"/>
    <w:docVar w:name="LW_OBJETACTEPRINCIPAL.CP" w:val="az Európai Unió által az Indiai-óceáni Tonhalbizottságban képviselend\u337? álláspontról és a 9398/1/14 REV 1 határozat hatályon kívül helyezésér\u337?l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9) 9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MELLÉKLETEK"/>
    <w:docVar w:name="LW_TYPE.DOC.CP" w:val="MELLÉKLETEK"/>
    <w:docVar w:name="LW_TYPEACTEPRINCIPAL" w:val="Javaslat_x000b_A Tanács határozata"/>
    <w:docVar w:name="LW_TYPEACTEPRINCIPAL.CP" w:val="Javaslat_x000b_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5</Pages>
  <Words>955</Words>
  <Characters>7299</Characters>
  <Application>Microsoft Office Word</Application>
  <DocSecurity>0</DocSecurity>
  <Lines>121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2019-02-28T16:59:00Z</dcterms:created>
  <dcterms:modified xsi:type="dcterms:W3CDTF">2019-03-06T08:39:00Z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Category">
    <vt:lpwstr>COM/ANNEX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Unique annex">
    <vt:lpwstr>0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DQCStatus">
    <vt:lpwstr>Green (DQC version 03)</vt:lpwstr>
  </property>
</Properties>
</file>