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2C8A0D84-2EB5-4D0D-BFE3-CC6872A3C2A5" style="width:450.75pt;height:396.7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PŘÍLOHA I</w:t>
      </w:r>
    </w:p>
    <w:p>
      <w:pPr>
        <w:pStyle w:val="Header"/>
        <w:jc w:val="center"/>
        <w:rPr>
          <w:b/>
          <w:noProof/>
        </w:rPr>
      </w:pPr>
      <w:r>
        <w:rPr>
          <w:noProof/>
        </w:rPr>
        <w:t>Postoj, který má být zaujat jménem Unie v rámci Komise pro tuňáky Indického oceánu („komise IOTC“)</w:t>
      </w:r>
    </w:p>
    <w:p>
      <w:pPr>
        <w:pStyle w:val="Heading1"/>
        <w:numPr>
          <w:ilvl w:val="0"/>
          <w:numId w:val="5"/>
        </w:numPr>
        <w:rPr>
          <w:noProof/>
        </w:rPr>
      </w:pPr>
      <w:r>
        <w:rPr>
          <w:noProof/>
        </w:rPr>
        <w:t>ZÁSADY</w:t>
      </w:r>
    </w:p>
    <w:p>
      <w:pPr>
        <w:rPr>
          <w:noProof/>
        </w:rPr>
      </w:pPr>
      <w:r>
        <w:rPr>
          <w:noProof/>
        </w:rPr>
        <w:t>Unie v rámci komise IOTC:</w:t>
      </w:r>
    </w:p>
    <w:p>
      <w:pPr>
        <w:pStyle w:val="Point0"/>
        <w:rPr>
          <w:noProof/>
        </w:rPr>
      </w:pPr>
      <w:r>
        <w:rPr>
          <w:noProof/>
        </w:rPr>
        <w:t xml:space="preserve">a) </w:t>
      </w:r>
      <w:r>
        <w:rPr>
          <w:noProof/>
        </w:rPr>
        <w:tab/>
        <w:t>jedná v souladu s cíli a zásadami, které Unie sleduje v rámci společné rybářské politiky (SRP), a to zejména uplatňováním principu předběžné opatrnosti a cílů souvisejících s maximálním udržitelným výnosem stanovených v čl. 2 odst. 2 nařízení (EU) č. 1380/2013, s cílem podpořit zavádění ekosystémového přístupu k řízení rybolovu, zamezit nežádoucím úlovkům a co možná nejvýrazněji je snížit, postupně eliminovat výměty a v co možná nejvyšší míře snížit dopad rybolovných činností na mořské ekosystémy a jejich stanoviště, a dále pak podporou hospodářsky životaschopného a konkurenceschopného odvětví rybolovu v Unii, s cílem zajistit odpovídající životní úroveň osobám, které jsou závislé na rybolovných činnostech, a zároveň zohlednit zájmy spotřebitelů;</w:t>
      </w:r>
    </w:p>
    <w:p>
      <w:pPr>
        <w:pStyle w:val="Point0"/>
        <w:rPr>
          <w:noProof/>
        </w:rPr>
      </w:pPr>
      <w:r>
        <w:rPr>
          <w:noProof/>
        </w:rPr>
        <w:t xml:space="preserve">b) </w:t>
      </w:r>
      <w:r>
        <w:rPr>
          <w:noProof/>
        </w:rPr>
        <w:tab/>
        <w:t>usiluje o odpovídající zapojení zúčastněných stran do přípravné fáze opatření komise IOTC a zajistí, aby opatření přijatá v rámci komise IOTC byla v souladu s dohodou IOTC;</w:t>
      </w:r>
    </w:p>
    <w:p>
      <w:pPr>
        <w:pStyle w:val="Point0"/>
        <w:rPr>
          <w:noProof/>
        </w:rPr>
      </w:pPr>
      <w:r>
        <w:rPr>
          <w:noProof/>
        </w:rPr>
        <w:t xml:space="preserve">c) </w:t>
      </w:r>
      <w:r>
        <w:rPr>
          <w:noProof/>
        </w:rPr>
        <w:tab/>
        <w:t>zajistí, aby opatření přijatá v rámci komise IOTC byla v souladu s mezinárodním právem, a zejména s ustanoveními Úmluvy OSN o mořském právu z roku 1982, Dohody OSN týkající se zachování a řízení tažných populací ryb a vysoce stěhovavých rybích populací z roku 1995, Dohody k podpoře dodržování mezinárodních opatření na zachování a řízení rybářskými plavidly na volném moři z roku 1993, jakož i Dohody Organizace pro výživu a zemědělství o opatřeních přístavních států z roku 2009;</w:t>
      </w:r>
    </w:p>
    <w:p>
      <w:pPr>
        <w:pStyle w:val="Point0"/>
        <w:rPr>
          <w:noProof/>
        </w:rPr>
      </w:pPr>
      <w:r>
        <w:rPr>
          <w:noProof/>
        </w:rPr>
        <w:t xml:space="preserve">d) </w:t>
      </w:r>
      <w:r>
        <w:rPr>
          <w:noProof/>
        </w:rPr>
        <w:tab/>
        <w:t>podporuje postoje, které jsou v souladu s osvědčenými postupy regionálních organizací pro řízení rybolovu (RFMO) v téže oblasti;</w:t>
      </w:r>
    </w:p>
    <w:p>
      <w:pPr>
        <w:pStyle w:val="Point0"/>
        <w:rPr>
          <w:noProof/>
          <w:szCs w:val="24"/>
        </w:rPr>
      </w:pPr>
      <w:r>
        <w:rPr>
          <w:noProof/>
        </w:rPr>
        <w:t xml:space="preserve">e) </w:t>
      </w:r>
      <w:r>
        <w:rPr>
          <w:noProof/>
        </w:rPr>
        <w:tab/>
        <w:t>usiluje o soudržnost a soulad s politikami, které Unie provádí jako součást dvoustranných vztahů v oblasti rybolovu s třetími zeměmi, a zajišťuje soudržnost s ostatními politikami, zejména v oblasti vnějších vztahů, zaměstnanosti, životního prostředí, obchodu, rozvoje, výzkumu a inovací;</w:t>
      </w:r>
    </w:p>
    <w:p>
      <w:pPr>
        <w:pStyle w:val="Point0"/>
        <w:rPr>
          <w:noProof/>
          <w:szCs w:val="24"/>
        </w:rPr>
      </w:pPr>
      <w:r>
        <w:rPr>
          <w:noProof/>
        </w:rPr>
        <w:t>f)</w:t>
      </w:r>
      <w:r>
        <w:rPr>
          <w:noProof/>
        </w:rPr>
        <w:tab/>
        <w:t>zajistí, aby byly dodržovány mezinárodní závazky Unie;</w:t>
      </w:r>
    </w:p>
    <w:p>
      <w:pPr>
        <w:pStyle w:val="Point0"/>
        <w:rPr>
          <w:noProof/>
          <w:szCs w:val="24"/>
        </w:rPr>
      </w:pPr>
      <w:r>
        <w:rPr>
          <w:noProof/>
        </w:rPr>
        <w:t xml:space="preserve">g) </w:t>
      </w:r>
      <w:r>
        <w:rPr>
          <w:noProof/>
        </w:rPr>
        <w:tab/>
        <w:t>řídí se závěry Rady ze dne 19. března 2012 týkajícími se sdělení Komise o vnější dimenzi společné rybářské politiky</w:t>
      </w:r>
      <w:r>
        <w:rPr>
          <w:rStyle w:val="FootnoteReference"/>
          <w:noProof/>
        </w:rPr>
        <w:footnoteReference w:id="1"/>
      </w:r>
      <w:r>
        <w:rPr>
          <w:noProof/>
        </w:rPr>
        <w:t>;</w:t>
      </w:r>
    </w:p>
    <w:p>
      <w:pPr>
        <w:pStyle w:val="Point0"/>
        <w:rPr>
          <w:noProof/>
          <w:szCs w:val="24"/>
        </w:rPr>
      </w:pPr>
      <w:r>
        <w:rPr>
          <w:noProof/>
        </w:rPr>
        <w:t xml:space="preserve">h) </w:t>
      </w:r>
      <w:r>
        <w:rPr>
          <w:noProof/>
        </w:rPr>
        <w:tab/>
        <w:t>usiluje o vytvoření rovných podmínek pro loďstvo Unie v rámci oblasti dohody IOTC na základě stejných zásad a standardů, jako jsou ty, jež jsou platné podle práva Unie, a o podporu jednotného uplatňování těchto zásad a standardů;</w:t>
      </w:r>
    </w:p>
    <w:p>
      <w:pPr>
        <w:pStyle w:val="Point0"/>
        <w:rPr>
          <w:noProof/>
          <w:szCs w:val="24"/>
        </w:rPr>
      </w:pPr>
      <w:r>
        <w:rPr>
          <w:noProof/>
        </w:rPr>
        <w:t xml:space="preserve">i) </w:t>
      </w:r>
      <w:r>
        <w:rPr>
          <w:noProof/>
        </w:rPr>
        <w:tab/>
        <w:t xml:space="preserve">jedná v souladu se společným sdělením vysoké představitelky Unie pro zahraniční věci a bezpečnostní politiku a Evropské komise </w:t>
      </w:r>
      <w:r>
        <w:rPr>
          <w:i/>
          <w:noProof/>
        </w:rPr>
        <w:t>Mezinárodní správa oceánů: příspěvek EU k odpovědné správě oceánů</w:t>
      </w:r>
      <w:r>
        <w:rPr>
          <w:rStyle w:val="FootnoteReference"/>
          <w:noProof/>
        </w:rPr>
        <w:footnoteReference w:id="2"/>
      </w:r>
      <w:r>
        <w:rPr>
          <w:noProof/>
        </w:rPr>
        <w:t xml:space="preserve"> a se závěry Rady o uvedeném společném sdělení</w:t>
      </w:r>
      <w:r>
        <w:rPr>
          <w:rStyle w:val="FootnoteReference"/>
          <w:noProof/>
        </w:rPr>
        <w:footnoteReference w:id="3"/>
      </w:r>
      <w:r>
        <w:rPr>
          <w:noProof/>
        </w:rPr>
        <w:t xml:space="preserve"> a podporuje opatření na povzbuzení a zvýšení účinnosti komise IOTC, </w:t>
      </w:r>
      <w:r>
        <w:rPr>
          <w:noProof/>
        </w:rPr>
        <w:lastRenderedPageBreak/>
        <w:t>případně i na zlepšení její správy a výkonnosti (zejména pokud jde o vědu, soulad, transparentnost a rozhodování), čímž přispívá k udržitelné správě oceánů ve všech jejích dimenzích;</w:t>
      </w:r>
    </w:p>
    <w:p>
      <w:pPr>
        <w:pStyle w:val="Point0"/>
        <w:rPr>
          <w:noProof/>
          <w:szCs w:val="24"/>
        </w:rPr>
      </w:pPr>
      <w:r>
        <w:rPr>
          <w:noProof/>
        </w:rPr>
        <w:t xml:space="preserve">j) </w:t>
      </w:r>
      <w:r>
        <w:rPr>
          <w:noProof/>
        </w:rPr>
        <w:tab/>
        <w:t>podporuje koordinaci mezi regionálními organizacemi pro řízení rybolovu a regionálními úmluvami pro mořské prostředí, případně i spolupráci se světovými organizacemi v rámci jejich příslušných oblastí působnosti;</w:t>
      </w:r>
    </w:p>
    <w:p>
      <w:pPr>
        <w:pStyle w:val="Point0"/>
        <w:rPr>
          <w:noProof/>
          <w:szCs w:val="24"/>
        </w:rPr>
      </w:pPr>
      <w:r>
        <w:rPr>
          <w:noProof/>
        </w:rPr>
        <w:t xml:space="preserve">k) </w:t>
      </w:r>
      <w:r>
        <w:rPr>
          <w:noProof/>
        </w:rPr>
        <w:tab/>
        <w:t>podporuje koordinaci a spolupráci v otázkách společného zájmu s jinými regionálními organizacemi pro řízení rybolovu tuňáka, zejména prostřednictvím reaktivace procesu zahájeného v Kóbe pro regionální organizace pro řízení rybolovu tuňáka a jeho rozšířením na všechny regionální organizace pro řízení rybolovu.</w:t>
      </w:r>
    </w:p>
    <w:p>
      <w:pPr>
        <w:pStyle w:val="Heading1"/>
        <w:rPr>
          <w:noProof/>
        </w:rPr>
      </w:pPr>
      <w:r>
        <w:rPr>
          <w:noProof/>
        </w:rPr>
        <w:t>SMĚRY</w:t>
      </w:r>
    </w:p>
    <w:p>
      <w:pPr>
        <w:autoSpaceDE w:val="0"/>
        <w:autoSpaceDN w:val="0"/>
        <w:adjustRightInd w:val="0"/>
        <w:spacing w:before="0" w:after="0"/>
        <w:rPr>
          <w:noProof/>
        </w:rPr>
      </w:pPr>
      <w:r>
        <w:rPr>
          <w:noProof/>
        </w:rPr>
        <w:t>Tam, kde je to vhodné, usiluje Unie o to, aby byla v rámci komise IOTC přijata následující opatření:</w:t>
      </w:r>
    </w:p>
    <w:p>
      <w:pPr>
        <w:pStyle w:val="Point0"/>
        <w:rPr>
          <w:noProof/>
        </w:rPr>
      </w:pPr>
      <w:r>
        <w:rPr>
          <w:noProof/>
        </w:rPr>
        <w:t xml:space="preserve">a) </w:t>
      </w:r>
      <w:r>
        <w:rPr>
          <w:noProof/>
        </w:rPr>
        <w:tab/>
        <w:t>opatření pro zachování a řízení rybolovných zdrojů v oblasti dohody IOTC založená na nejlepších dostupných vědeckých doporučeních, včetně ročních celkových přípustných odlovů a kvót nebo regulace intenzity odlovu živých biologických mořských zdrojů, na něž se vztahuje dohoda IOTC, která umožní nejpozději do roku 2020 postupně dosáhnout míry využití umožňující maximální udržitelný výnos. V případě potřeby je nutno zvážit zvláštní opatření pro populace, které jsou nadměrně loveny, tak aby intenzita rybolovu odpovídala dostupným rybolovným právům;</w:t>
      </w:r>
    </w:p>
    <w:p>
      <w:pPr>
        <w:pStyle w:val="Point0"/>
        <w:rPr>
          <w:noProof/>
        </w:rPr>
      </w:pPr>
      <w:r>
        <w:rPr>
          <w:noProof/>
        </w:rPr>
        <w:t xml:space="preserve">b) </w:t>
      </w:r>
      <w:r>
        <w:rPr>
          <w:noProof/>
        </w:rPr>
        <w:tab/>
        <w:t xml:space="preserve">opatření pro předcházení, potírání a odstranění </w:t>
      </w:r>
      <w:r>
        <w:rPr>
          <w:noProof/>
          <w:sz w:val="23"/>
        </w:rPr>
        <w:t>nezákonných, nehlášených a neregulovaných rybolovných činností</w:t>
      </w:r>
      <w:r>
        <w:rPr>
          <w:noProof/>
        </w:rPr>
        <w:t xml:space="preserve"> v oblasti dohody IOTC, včetně vytvoření seznamu plavidel provádějících nezákonný, nehlášený a neregulovaný rybolov;</w:t>
      </w:r>
    </w:p>
    <w:p>
      <w:pPr>
        <w:pStyle w:val="Point0"/>
        <w:rPr>
          <w:noProof/>
        </w:rPr>
      </w:pPr>
      <w:r>
        <w:rPr>
          <w:noProof/>
        </w:rPr>
        <w:t xml:space="preserve">c) </w:t>
      </w:r>
      <w:r>
        <w:rPr>
          <w:noProof/>
        </w:rPr>
        <w:tab/>
        <w:t>opatření pro sledování, kontrolu a dozor v oblasti dohody IOTC, aby byla zajištěna účinnost kontrol a dodržování opatření přijatých v rámci komise IOTC;</w:t>
      </w:r>
    </w:p>
    <w:p>
      <w:pPr>
        <w:pStyle w:val="Point0"/>
        <w:rPr>
          <w:noProof/>
        </w:rPr>
      </w:pPr>
      <w:r>
        <w:rPr>
          <w:noProof/>
        </w:rPr>
        <w:t xml:space="preserve">d) </w:t>
      </w:r>
      <w:r>
        <w:rPr>
          <w:noProof/>
        </w:rPr>
        <w:tab/>
        <w:t>opatření k minimalizaci negativního dopadu rybolovných činností na biologickou rozmanitost moří, mořské ekosystémy a jejich stanoviště, včetně opatření ke snížení znečištění moří, předcházení vypouštění plastů do moří a snížení dopadu přítomnosti plastů v mořích na biologickou rozmanitost moří a mořské ekosystémy, opatření na ochranu citlivých mořských ekosystémů v oblasti dohody IOTC v souladu s rezolucemi Valného shromáždění OSN, opatření k předcházení nežádoucím úlovkům a co největšímu snížení nežádoucích úlovků, zejména zranitelných mořských druhů, a opatření k postupnému odstranění výmětů;</w:t>
      </w:r>
    </w:p>
    <w:p>
      <w:pPr>
        <w:pStyle w:val="Point0"/>
        <w:rPr>
          <w:noProof/>
        </w:rPr>
      </w:pPr>
      <w:r>
        <w:rPr>
          <w:noProof/>
        </w:rPr>
        <w:t>e)</w:t>
      </w:r>
      <w:r>
        <w:rPr>
          <w:noProof/>
        </w:rPr>
        <w:tab/>
        <w:t>opatření k řízení používání lovných zařízení s uzavíracím mechanismem, zejména s cílem zlepšit sběr údajů, aby bylo možné sledovat a monitorovat používání lovných zařízení a přesně určit jejich množství, snížit jejich dopady na zranitelné populace tuňáků, zmírnit jejich možné dopady na cílové a necílové druhy, jakož i na ekosystém, a snížit jejich podíl na znečištění moří;</w:t>
      </w:r>
    </w:p>
    <w:p>
      <w:pPr>
        <w:pStyle w:val="Point0"/>
        <w:rPr>
          <w:noProof/>
        </w:rPr>
      </w:pPr>
      <w:r>
        <w:rPr>
          <w:noProof/>
        </w:rPr>
        <w:t>f)</w:t>
      </w:r>
      <w:r>
        <w:rPr>
          <w:noProof/>
        </w:rPr>
        <w:tab/>
        <w:t>opatření ke snížení dopadu opuštěných, ztracených či jinak odhozených lovných zařízení v oceánu a usnadnění identifikace a zpětného získávání těchto zařízení;</w:t>
      </w:r>
    </w:p>
    <w:p>
      <w:pPr>
        <w:pStyle w:val="Point0"/>
        <w:rPr>
          <w:noProof/>
        </w:rPr>
      </w:pPr>
      <w:r>
        <w:rPr>
          <w:noProof/>
        </w:rPr>
        <w:t xml:space="preserve">g) </w:t>
      </w:r>
      <w:r>
        <w:rPr>
          <w:noProof/>
        </w:rPr>
        <w:tab/>
        <w:t>opatření mající za cíl zákaz rybolovu prováděného výhradně za účelem odběru žraločích ploutví a opatření požadující, aby všichni žraloci byli vykládáni se všemi ploutvemi přirozeně připojenými k tělu;</w:t>
      </w:r>
    </w:p>
    <w:p>
      <w:pPr>
        <w:pStyle w:val="Point0"/>
        <w:rPr>
          <w:noProof/>
        </w:rPr>
      </w:pPr>
      <w:r>
        <w:rPr>
          <w:noProof/>
        </w:rPr>
        <w:lastRenderedPageBreak/>
        <w:t>h)</w:t>
      </w:r>
      <w:r>
        <w:rPr>
          <w:noProof/>
        </w:rPr>
        <w:tab/>
        <w:t>doporučení, která podporují provedení úmluvy Mezinárodní organizace práce o práci v odvětví rybolovu (tam, kde je to vhodné, a v rozsahu povoleném příslušnými ustavujícími dokumenty);</w:t>
      </w:r>
    </w:p>
    <w:p>
      <w:pPr>
        <w:pStyle w:val="Point0"/>
        <w:rPr>
          <w:noProof/>
        </w:rPr>
      </w:pPr>
      <w:r>
        <w:rPr>
          <w:noProof/>
        </w:rPr>
        <w:t xml:space="preserve">i) </w:t>
      </w:r>
      <w:r>
        <w:rPr>
          <w:noProof/>
        </w:rPr>
        <w:tab/>
        <w:t xml:space="preserve">dodatečná technická opatření založená na doporučeních orgánů a pracovních skupin komise IOTC. </w:t>
      </w:r>
    </w:p>
    <w:p>
      <w:pPr>
        <w:rPr>
          <w:noProof/>
        </w:rPr>
        <w:sectPr>
          <w:footerReference w:type="default" r:id="rId15"/>
          <w:footerReference w:type="first" r:id="rId16"/>
          <w:pgSz w:w="11907" w:h="16839"/>
          <w:pgMar w:top="1134" w:right="1417" w:bottom="1134" w:left="1417" w:header="709" w:footer="709" w:gutter="0"/>
          <w:cols w:space="720"/>
          <w:docGrid w:linePitch="360"/>
        </w:sectPr>
      </w:pPr>
    </w:p>
    <w:p>
      <w:pPr>
        <w:pStyle w:val="Annexetitre"/>
        <w:rPr>
          <w:noProof/>
        </w:rPr>
      </w:pPr>
      <w:r>
        <w:rPr>
          <w:noProof/>
        </w:rPr>
        <w:lastRenderedPageBreak/>
        <w:t>PŘÍLOHA II</w:t>
      </w:r>
    </w:p>
    <w:p>
      <w:pPr>
        <w:jc w:val="center"/>
        <w:rPr>
          <w:rFonts w:eastAsia="Calibri"/>
          <w:b/>
          <w:noProof/>
          <w:szCs w:val="20"/>
          <w:u w:val="single"/>
        </w:rPr>
      </w:pPr>
      <w:r>
        <w:rPr>
          <w:b/>
          <w:noProof/>
          <w:u w:val="single"/>
        </w:rPr>
        <w:t>Každoroční stanovení postoje Unie, který má být zaujat</w:t>
      </w:r>
    </w:p>
    <w:p>
      <w:pPr>
        <w:jc w:val="center"/>
        <w:rPr>
          <w:rFonts w:eastAsia="Calibri"/>
          <w:b/>
          <w:noProof/>
          <w:szCs w:val="20"/>
          <w:u w:val="single"/>
        </w:rPr>
      </w:pPr>
      <w:r>
        <w:rPr>
          <w:b/>
          <w:noProof/>
          <w:u w:val="single"/>
        </w:rPr>
        <w:t xml:space="preserve">na zasedáních Komise pro tuňáky Indického oceánu </w:t>
      </w:r>
    </w:p>
    <w:p>
      <w:pPr>
        <w:jc w:val="center"/>
        <w:rPr>
          <w:rFonts w:eastAsia="Calibri"/>
          <w:b/>
          <w:i/>
          <w:strike/>
          <w:noProof/>
          <w:szCs w:val="20"/>
          <w:u w:val="single"/>
        </w:rPr>
      </w:pPr>
    </w:p>
    <w:p>
      <w:pPr>
        <w:rPr>
          <w:rFonts w:eastAsia="Calibri"/>
          <w:noProof/>
          <w:szCs w:val="20"/>
        </w:rPr>
      </w:pPr>
      <w:r>
        <w:rPr>
          <w:noProof/>
        </w:rPr>
        <w:t>Před každým zasedáním komise IOTC, na kterém má tento orgán přijmout rozhodnutí, která mají pro Unii právní účinky, je třeba podniknout nezbytné kroky, aby postoj, který má být jménem Unie vyjádřen, zohledňoval nejnovější vědecké a jiné relevantní údaje předložené Komisi v souladu se zásadami a směry stanovenými v příloze I.</w:t>
      </w:r>
    </w:p>
    <w:p>
      <w:pPr>
        <w:rPr>
          <w:rFonts w:eastAsia="Calibri"/>
          <w:noProof/>
          <w:szCs w:val="20"/>
        </w:rPr>
      </w:pPr>
      <w:r>
        <w:rPr>
          <w:noProof/>
        </w:rPr>
        <w:t>Za tímto účelem na základě uvedených údajů předá Komise Radě nebo jejím přípravným orgánům s dostatečným předstihem před každým zasedáním komise IOTC písemný dokument obsahující podrobnosti o navrhovaném stanovení postoje Unie, aby se podrobnosti o postoji, jenž má být jménem Unie vyjádřen, projednaly a schválily.</w:t>
      </w:r>
    </w:p>
    <w:p>
      <w:pPr>
        <w:rPr>
          <w:rFonts w:eastAsia="Calibri"/>
          <w:noProof/>
          <w:szCs w:val="20"/>
        </w:rPr>
      </w:pPr>
      <w:r>
        <w:rPr>
          <w:noProof/>
        </w:rPr>
        <w:t>Nelze-li v průběhu zasedání komise IOTC, a to ani přímo na místě, dosáhnout dohody tak, aby bylo možno v postoji Unie zohlednit nové prvky, postoupí se záležitost Radě nebo jejím přípravným orgánům.</w:t>
      </w:r>
    </w:p>
    <w:p>
      <w:pP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en-US"/>
        </w:rPr>
      </w:pPr>
      <w:r>
        <w:rPr>
          <w:rStyle w:val="FootnoteReference"/>
        </w:rPr>
        <w:footnoteRef/>
      </w:r>
      <w:r>
        <w:tab/>
        <w:t xml:space="preserve">7087/12 REV 1 ADD 1 COR 1. </w:t>
      </w:r>
    </w:p>
  </w:footnote>
  <w:footnote w:id="2">
    <w:p>
      <w:pPr>
        <w:pStyle w:val="FootnoteText"/>
      </w:pPr>
      <w:r>
        <w:rPr>
          <w:rStyle w:val="FootnoteReference"/>
        </w:rPr>
        <w:footnoteRef/>
      </w:r>
      <w:r>
        <w:tab/>
        <w:t>JOIN(2016) 49 final, 10.11.2016.</w:t>
      </w:r>
    </w:p>
  </w:footnote>
  <w:footnote w:id="3">
    <w:p>
      <w:pPr>
        <w:pStyle w:val="FootnoteText"/>
        <w:rPr>
          <w:lang w:val="en-US"/>
        </w:rPr>
      </w:pPr>
      <w:r>
        <w:rPr>
          <w:rStyle w:val="FootnoteReference"/>
        </w:rPr>
        <w:footnoteRef/>
      </w:r>
      <w:r>
        <w:tab/>
        <w:t>7348/1/17 REV 1, 24.3.2017.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49CD7A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9DAA6B6"/>
    <w:lvl w:ilvl="0">
      <w:start w:val="1"/>
      <w:numFmt w:val="decimal"/>
      <w:pStyle w:val="ListNumber3"/>
      <w:lvlText w:val="%1."/>
      <w:lvlJc w:val="left"/>
      <w:pPr>
        <w:tabs>
          <w:tab w:val="num" w:pos="926"/>
        </w:tabs>
        <w:ind w:left="926" w:hanging="360"/>
      </w:pPr>
    </w:lvl>
  </w:abstractNum>
  <w:abstractNum w:abstractNumId="2">
    <w:nsid w:val="FFFFFF7F"/>
    <w:multiLevelType w:val="singleLevel"/>
    <w:tmpl w:val="C374BA94"/>
    <w:lvl w:ilvl="0">
      <w:start w:val="1"/>
      <w:numFmt w:val="decimal"/>
      <w:pStyle w:val="ListNumber2"/>
      <w:lvlText w:val="%1."/>
      <w:lvlJc w:val="left"/>
      <w:pPr>
        <w:tabs>
          <w:tab w:val="num" w:pos="643"/>
        </w:tabs>
        <w:ind w:left="643" w:hanging="360"/>
      </w:pPr>
    </w:lvl>
  </w:abstractNum>
  <w:abstractNum w:abstractNumId="3">
    <w:nsid w:val="FFFFFF81"/>
    <w:multiLevelType w:val="singleLevel"/>
    <w:tmpl w:val="E884D00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62469F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A58668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6DC7B0E"/>
    <w:lvl w:ilvl="0">
      <w:start w:val="1"/>
      <w:numFmt w:val="decimal"/>
      <w:pStyle w:val="ListNumber"/>
      <w:lvlText w:val="%1."/>
      <w:lvlJc w:val="left"/>
      <w:pPr>
        <w:tabs>
          <w:tab w:val="num" w:pos="360"/>
        </w:tabs>
        <w:ind w:left="360" w:hanging="360"/>
      </w:pPr>
    </w:lvl>
  </w:abstractNum>
  <w:abstractNum w:abstractNumId="7">
    <w:nsid w:val="FFFFFF89"/>
    <w:multiLevelType w:val="singleLevel"/>
    <w:tmpl w:val="1BF49E2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6 09:37:0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8"/>
    <w:docVar w:name="DQCResult_UnknownFonts" w:val="0;0"/>
    <w:docVar w:name="DQCResult_UnknownStyles" w:val="0;0"/>
    <w:docVar w:name="DQCStatus" w:val="Green"/>
    <w:docVar w:name="DQCVersion" w:val="3"/>
    <w:docVar w:name="DQCWithWarnings" w:val="0"/>
    <w:docVar w:name="LW_ACCOMPAGNANT" w:val=" "/>
    <w:docVar w:name="LW_ACCOMPAGNANT.CP" w:val=" "/>
    <w:docVar w:name="LW_ANNEX_NBR_FIRST" w:val="1"/>
    <w:docVar w:name="LW_ANNEX_NBR_LAST" w:val="2"/>
    <w:docVar w:name="LW_ANNEX_UNIQUE" w:val="0"/>
    <w:docVar w:name="LW_CORRIGENDUM" w:val="&lt;UNUSED&gt;"/>
    <w:docVar w:name="LW_COVERPAGE_EXISTS" w:val="True"/>
    <w:docVar w:name="LW_COVERPAGE_GUID" w:val="2C8A0D84-2EB5-4D0D-BFE3-CC6872A3C2A5"/>
    <w:docVar w:name="LW_COVERPAGE_TYPE" w:val="1"/>
    <w:docVar w:name="LW_CROSSREFERENCE" w:val="&lt;UNUSED&gt;"/>
    <w:docVar w:name="LW_DocType" w:val="ANNEX"/>
    <w:docVar w:name="LW_EMISSION" w:val="6.3.2019"/>
    <w:docVar w:name="LW_EMISSION_ISODATE" w:val="2019-03-06"/>
    <w:docVar w:name="LW_EMISSION_LOCATION" w:val="BRX"/>
    <w:docVar w:name="LW_EMISSION_PREFIX" w:val="V Bruselu dne "/>
    <w:docVar w:name="LW_EMISSION_SUFFIX" w:val="&lt;EMPTY&gt;"/>
    <w:docVar w:name="LW_ID_DOCSTRUCTURE" w:val="COM/ANNEX"/>
    <w:docVar w:name="LW_ID_DOCTYPE" w:val="SG-017"/>
    <w:docVar w:name="LW_LANGUE" w:val="CS"/>
    <w:docVar w:name="LW_LEVEL_OF_SENSITIVITY" w:val="Standard treatment"/>
    <w:docVar w:name="LW_NOM.INST" w:val="EVROPSKÁ KOMISE"/>
    <w:docVar w:name="LW_NOM.INST_JOINTDOC" w:val="&lt;EMPTY&gt;"/>
    <w:docVar w:name="LW_OBJETACTEPRINCIPAL" w:val="o postoji, který má být zaujat jménem Evropské unie v rámci Komise pro tu\u328?áky Indického oceánu, a kterým se zru\u353?uje rozhodnutí 9398/1/14 REV 1_x000b_"/>
    <w:docVar w:name="LW_OBJETACTEPRINCIPAL.CP" w:val="o postoji, který má být zaujat jménem Evropské unie v rámci Komise pro tu\u328?áky Indického oceánu, a kterým se zru\u353?uje rozhodnutí 9398/1/14 REV 1_x000b_"/>
    <w:docVar w:name="LW_PART_NBR" w:val="&lt;UNUSED&gt;"/>
    <w:docVar w:name="LW_PART_NBR_TOTAL" w:val="&lt;UNUSED&gt;"/>
    <w:docVar w:name="LW_REF.INST.NEW" w:val="COM"/>
    <w:docVar w:name="LW_REF.INST.NEW_ADOPTED" w:val="final"/>
    <w:docVar w:name="LW_REF.INST.NEW_TEXT" w:val="(2019) 9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P\u344?ÍLOHY"/>
    <w:docVar w:name="LW_TYPE.DOC.CP" w:val="P\u344?ÍLOHY"/>
    <w:docVar w:name="LW_TYPEACTEPRINCIPAL" w:val="návrhu rozhodnutí Rady"/>
    <w:docVar w:name="LW_TYPEACTEPRINCIPAL.CP" w:val="návrhu rozhodnutí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cs-CZ"/>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cs-CZ"/>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0</TotalTime>
  <Pages>5</Pages>
  <Words>1025</Words>
  <Characters>6061</Characters>
  <Application>Microsoft Office Word</Application>
  <DocSecurity>0</DocSecurity>
  <Lines>108</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2019-02-28T13:18:00Z</dcterms:created>
  <dcterms:modified xsi:type="dcterms:W3CDTF">2019-03-06T08:37:00Z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COM/ANNEX</vt:lpwstr>
  </property>
  <property fmtid="{D5CDD505-2E9C-101B-9397-08002B2CF9AE}" pid="4" name="Level of sensitivity">
    <vt:lpwstr>Standard treatment</vt:lpwstr>
  </property>
  <property fmtid="{D5CDD505-2E9C-101B-9397-08002B2CF9AE}" pid="5" name="First annex">
    <vt:lpwstr>1</vt:lpwstr>
  </property>
  <property fmtid="{D5CDD505-2E9C-101B-9397-08002B2CF9AE}" pid="6" name="Last annex">
    <vt:lpwstr>2</vt:lpwstr>
  </property>
  <property fmtid="{D5CDD505-2E9C-101B-9397-08002B2CF9AE}" pid="7" name="Unique annex">
    <vt:lpwstr>0</vt:lpwstr>
  </property>
  <property fmtid="{D5CDD505-2E9C-101B-9397-08002B2CF9AE}" pid="8" name="Part">
    <vt:lpwstr>&lt;UNUSED&gt;</vt:lpwstr>
  </property>
  <property fmtid="{D5CDD505-2E9C-101B-9397-08002B2CF9AE}" pid="9" name="Total parts">
    <vt:lpwstr>&lt;UNUSED&gt;</vt:lpwstr>
  </property>
  <property fmtid="{D5CDD505-2E9C-101B-9397-08002B2CF9AE}" pid="10" name="LWTemplateID">
    <vt:lpwstr>SG-017</vt:lpwstr>
  </property>
  <property fmtid="{D5CDD505-2E9C-101B-9397-08002B2CF9AE}" pid="11" name="DQCStatus">
    <vt:lpwstr>Green (DQC version 03)</vt:lpwstr>
  </property>
</Properties>
</file>