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A0828EE-CB03-4A70-96FF-3C0E5811941E" style="width:450.8pt;height:397.5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BIJLAGE I</w:t>
      </w:r>
    </w:p>
    <w:p>
      <w:pPr>
        <w:pStyle w:val="Header"/>
        <w:jc w:val="center"/>
        <w:rPr>
          <w:b/>
          <w:noProof/>
        </w:rPr>
      </w:pPr>
      <w:r>
        <w:rPr>
          <w:noProof/>
        </w:rPr>
        <w:t>Standpunt dat namens de Unie moet worden ingenomen in de Commissie voor de tonijnvisserij in de Indische Oceaan (IOTC)</w:t>
      </w:r>
    </w:p>
    <w:p>
      <w:pPr>
        <w:pStyle w:val="Heading1"/>
        <w:numPr>
          <w:ilvl w:val="0"/>
          <w:numId w:val="5"/>
        </w:numPr>
        <w:rPr>
          <w:noProof/>
        </w:rPr>
      </w:pPr>
      <w:r>
        <w:rPr>
          <w:noProof/>
        </w:rPr>
        <w:t>BEGINSELEN</w:t>
      </w:r>
    </w:p>
    <w:p>
      <w:pPr>
        <w:rPr>
          <w:noProof/>
        </w:rPr>
      </w:pPr>
      <w:r>
        <w:rPr>
          <w:noProof/>
        </w:rPr>
        <w:t>In het kader van de IOTC moet de Unie:</w:t>
      </w:r>
    </w:p>
    <w:p>
      <w:pPr>
        <w:pStyle w:val="Point0"/>
        <w:rPr>
          <w:noProof/>
        </w:rPr>
      </w:pPr>
      <w:r>
        <w:rPr>
          <w:noProof/>
        </w:rPr>
        <w:t xml:space="preserve">a) </w:t>
      </w:r>
      <w:r>
        <w:rPr>
          <w:noProof/>
        </w:rPr>
        <w:tab/>
        <w:t>handelen in overeenstemming met de doelstellingen en beginselen die zij in het kader van het gemeenschappelijk visserijbeleid (GVB) nastreeft, met name door middel van de voorzorgsaanpak en de doelstellingen in verband met de maximale duurzame opbrengst, zoals neergelegd in artikel 2, lid 2, van Verordening (EU) nr. 1380/2013, om de uitvoering van een op het ecosysteem gebaseerde aanpak van het visserijbeheer te bevorderen, om ongewenste vangsten zo veel mogelijk te voorkomen en te beperken en de teruggooi geleidelijk uit te bannen, om de impact van visserijactiviteiten op mariene ecosystemen en hun habitats zo veel mogelijk te beperken en om door het bevorderen van een economisch levensvatbare en concurrerende visserijsector in de Unie te zorgen voor een redelijke levensstandaard voor degenen die van visserijactiviteiten afhankelijk zijn, en daarbij rekening te houden met de belangen van de consumenten;</w:t>
      </w:r>
    </w:p>
    <w:p>
      <w:pPr>
        <w:pStyle w:val="Point0"/>
        <w:rPr>
          <w:noProof/>
        </w:rPr>
      </w:pPr>
      <w:r>
        <w:rPr>
          <w:noProof/>
        </w:rPr>
        <w:t xml:space="preserve">b) </w:t>
      </w:r>
      <w:r>
        <w:rPr>
          <w:noProof/>
        </w:rPr>
        <w:tab/>
        <w:t>werken aan een passende betrokkenheid van de belanghebbenden bij de voorbereidingsfase van IOTC-maatregelen en erop toezien dat de in de IOTC goedgekeurde maatregelen in overeenstemming zijn met de IOTC-overeenkomst;</w:t>
      </w:r>
    </w:p>
    <w:p>
      <w:pPr>
        <w:pStyle w:val="Point0"/>
        <w:rPr>
          <w:noProof/>
        </w:rPr>
      </w:pPr>
      <w:r>
        <w:rPr>
          <w:noProof/>
        </w:rPr>
        <w:t xml:space="preserve">c) </w:t>
      </w:r>
      <w:r>
        <w:rPr>
          <w:noProof/>
        </w:rPr>
        <w:tab/>
        <w:t>erop toezien dat de in de IOTC goedgekeurde maatregelen consistent zijn met het internationaal recht en met name met de bepalingen van het VN-Verdrag inzake het recht van de zee van 1982, de VN-Overeenkomst betreffende de instandhouding en het beheer van de grensoverschrijdende en de over grote afstanden trekkende visbestanden van 1995, de Overeenkomst om de naleving van de internationale instandhoudings- en beheersmaatregelen door vissersvaartuigen op de volle zee te bevorderen van 1993 en de Overeenkomst inzake havenstaatmaatregelen van de Voedsel- en Landbouworganisatie van 2009;</w:t>
      </w:r>
    </w:p>
    <w:p>
      <w:pPr>
        <w:pStyle w:val="Point0"/>
        <w:rPr>
          <w:noProof/>
        </w:rPr>
      </w:pPr>
      <w:r>
        <w:rPr>
          <w:noProof/>
        </w:rPr>
        <w:t xml:space="preserve">d) </w:t>
      </w:r>
      <w:r>
        <w:rPr>
          <w:noProof/>
        </w:rPr>
        <w:tab/>
        <w:t>aansturen op standpunten die consistent zijn met de beste praktijken van de regionale organisaties voor visserijbeheer (ROVB's) in hetzelfde gebied;</w:t>
      </w:r>
    </w:p>
    <w:p>
      <w:pPr>
        <w:pStyle w:val="Point0"/>
        <w:rPr>
          <w:noProof/>
          <w:szCs w:val="24"/>
        </w:rPr>
      </w:pPr>
      <w:r>
        <w:rPr>
          <w:noProof/>
        </w:rPr>
        <w:t xml:space="preserve">e) </w:t>
      </w:r>
      <w:r>
        <w:rPr>
          <w:noProof/>
        </w:rPr>
        <w:tab/>
        <w:t xml:space="preserve">streven naar samenhang en synergie met het beleid dat de Unie voert in het kader van haar bilaterale visserijrelaties met derde landen, en zorgen voor coherentie met haar ander beleid, met name inzake buitenlandse betrekkingen, </w:t>
      </w:r>
      <w:r>
        <w:rPr>
          <w:noProof/>
          <w:szCs w:val="24"/>
        </w:rPr>
        <w:t xml:space="preserve">werkgelegenheid, </w:t>
      </w:r>
      <w:r>
        <w:rPr>
          <w:noProof/>
        </w:rPr>
        <w:t>milieu, handel, ontwikkeling, onderzoek en innovatie;</w:t>
      </w:r>
    </w:p>
    <w:p>
      <w:pPr>
        <w:pStyle w:val="Point0"/>
        <w:rPr>
          <w:noProof/>
          <w:szCs w:val="24"/>
        </w:rPr>
      </w:pPr>
      <w:r>
        <w:rPr>
          <w:noProof/>
        </w:rPr>
        <w:t>f)</w:t>
      </w:r>
      <w:r>
        <w:rPr>
          <w:noProof/>
        </w:rPr>
        <w:tab/>
        <w:t>erop toezien dat de internationale verbintenissen van de Unie worden nagekomen;</w:t>
      </w:r>
    </w:p>
    <w:p>
      <w:pPr>
        <w:pStyle w:val="Point0"/>
        <w:rPr>
          <w:noProof/>
          <w:szCs w:val="24"/>
        </w:rPr>
      </w:pPr>
      <w:r>
        <w:rPr>
          <w:noProof/>
        </w:rPr>
        <w:t xml:space="preserve">g) </w:t>
      </w:r>
      <w:r>
        <w:rPr>
          <w:noProof/>
        </w:rPr>
        <w:tab/>
        <w:t>zich voegen naar de conclusies van de Raad van 19 maart 2012 over de mededeling van de Commissie inzake de externe dimensie van het gemeenschappelijk visserijbeleid</w:t>
      </w:r>
      <w:r>
        <w:rPr>
          <w:rStyle w:val="FootnoteReference"/>
          <w:noProof/>
        </w:rPr>
        <w:footnoteReference w:id="1"/>
      </w:r>
      <w:r>
        <w:rPr>
          <w:noProof/>
        </w:rPr>
        <w:t>;</w:t>
      </w:r>
    </w:p>
    <w:p>
      <w:pPr>
        <w:pStyle w:val="Point0"/>
        <w:rPr>
          <w:noProof/>
          <w:szCs w:val="24"/>
        </w:rPr>
      </w:pPr>
      <w:r>
        <w:rPr>
          <w:noProof/>
        </w:rPr>
        <w:t xml:space="preserve">h) </w:t>
      </w:r>
      <w:r>
        <w:rPr>
          <w:noProof/>
        </w:rPr>
        <w:tab/>
        <w:t>ernaar streven dat voor de vloot van de Unie binnen het IOTC-overeenkomstgebied gelijke voorwaarden gelden, op basis van de beginselen en normen die ook uit hoofde van het recht van de Unie worden gehanteerd, en zich inzetten voor de eenvormige uitvoering van die beginselen en normen;</w:t>
      </w:r>
    </w:p>
    <w:p>
      <w:pPr>
        <w:pStyle w:val="Point0"/>
        <w:rPr>
          <w:noProof/>
          <w:szCs w:val="24"/>
        </w:rPr>
      </w:pPr>
      <w:r>
        <w:rPr>
          <w:noProof/>
        </w:rPr>
        <w:lastRenderedPageBreak/>
        <w:t xml:space="preserve">i) </w:t>
      </w:r>
      <w:r>
        <w:rPr>
          <w:noProof/>
        </w:rPr>
        <w:tab/>
        <w:t>zich voegen naar de gezamenlijke mededeling van de hoge vertegenwoordiger van de Unie voor buitenlandse zaken en veiligheidsbeleid en de Europese Commissie "</w:t>
      </w:r>
      <w:r>
        <w:rPr>
          <w:i/>
          <w:noProof/>
        </w:rPr>
        <w:t>Internationale oceaangovernance: een agenda voor de toekomst van onze oceanen</w:t>
      </w:r>
      <w:r>
        <w:rPr>
          <w:noProof/>
        </w:rPr>
        <w:t>"</w:t>
      </w:r>
      <w:r>
        <w:rPr>
          <w:rStyle w:val="FootnoteReference"/>
          <w:noProof/>
        </w:rPr>
        <w:footnoteReference w:id="2"/>
      </w:r>
      <w:r>
        <w:rPr>
          <w:noProof/>
        </w:rPr>
        <w:t xml:space="preserve"> en naar de conclusies van de Raad over die gezamenlijke mededeling</w:t>
      </w:r>
      <w:r>
        <w:rPr>
          <w:rStyle w:val="FootnoteReference"/>
          <w:noProof/>
        </w:rPr>
        <w:footnoteReference w:id="3"/>
      </w:r>
      <w:r>
        <w:rPr>
          <w:noProof/>
        </w:rPr>
        <w:t>, en maatregelen stimuleren die de doeltreffendheid van de IOTC ondersteunen en versterken en die, zo nodig, haar governance en prestaties verbeteren (met name op het gebied van wetenschap, naleving, transparantie en besluitvorming), als bijdrage aan duurzaam oceaanbeheer in al zijn aspecten;</w:t>
      </w:r>
    </w:p>
    <w:p>
      <w:pPr>
        <w:pStyle w:val="Point0"/>
        <w:rPr>
          <w:noProof/>
          <w:szCs w:val="24"/>
        </w:rPr>
      </w:pPr>
      <w:r>
        <w:rPr>
          <w:noProof/>
        </w:rPr>
        <w:t xml:space="preserve">j) </w:t>
      </w:r>
      <w:r>
        <w:rPr>
          <w:noProof/>
        </w:rPr>
        <w:tab/>
        <w:t>ijveren voor coördinatie tussen ROVB's en regionale zeeverdragen (RZV's) en samenwerking met mondiale organisaties, naargelang van het geval, binnen hun respectieve mandaten, waar passend;</w:t>
      </w:r>
    </w:p>
    <w:p>
      <w:pPr>
        <w:pStyle w:val="Point0"/>
        <w:rPr>
          <w:noProof/>
          <w:szCs w:val="24"/>
        </w:rPr>
      </w:pPr>
      <w:r>
        <w:rPr>
          <w:noProof/>
        </w:rPr>
        <w:t xml:space="preserve">k) </w:t>
      </w:r>
      <w:r>
        <w:rPr>
          <w:noProof/>
        </w:rPr>
        <w:tab/>
        <w:t>coördinatie en samenwerking met andere tonijn-ROVB's stimuleren met betrekking tot kwesties van gemeenschappelijk belang, met name via de reactivatie van het zogenaamde "proces van Kobe" voor tonijn-ROVB's en de uitbreiding ervan naar alle ROVB's.</w:t>
      </w:r>
    </w:p>
    <w:p>
      <w:pPr>
        <w:pStyle w:val="Heading1"/>
        <w:rPr>
          <w:noProof/>
        </w:rPr>
      </w:pPr>
      <w:r>
        <w:rPr>
          <w:noProof/>
        </w:rPr>
        <w:t>RICHTSNOEREN</w:t>
      </w:r>
    </w:p>
    <w:p>
      <w:pPr>
        <w:autoSpaceDE w:val="0"/>
        <w:autoSpaceDN w:val="0"/>
        <w:adjustRightInd w:val="0"/>
        <w:spacing w:before="0" w:after="0"/>
        <w:rPr>
          <w:noProof/>
        </w:rPr>
      </w:pPr>
      <w:r>
        <w:rPr>
          <w:noProof/>
        </w:rPr>
        <w:t>De Unie zet zich waar passend in om ervoor te zorgen dat de IOTC werk maakt van de volgende acties:</w:t>
      </w:r>
    </w:p>
    <w:p>
      <w:pPr>
        <w:pStyle w:val="Point0"/>
        <w:rPr>
          <w:noProof/>
        </w:rPr>
      </w:pPr>
      <w:r>
        <w:rPr>
          <w:noProof/>
        </w:rPr>
        <w:t xml:space="preserve">a) </w:t>
      </w:r>
      <w:r>
        <w:rPr>
          <w:noProof/>
        </w:rPr>
        <w:tab/>
        <w:t>instandhoudings- en beheersmaatregelen voor in het IOTC-overeenkomstgebied voorkomende visbestanden op basis van het beste beschikbare wetenschappelijke advies, met inbegrip van totale toegestane vangsten (TAC's – total allowable catches) en quota of regulering van de visserijinspanning voor de levende biologische rijkdommen van de zee die door de IOTC worden gereguleerd, waarmee die bestanden op basis van een geleidelijke toename uiterlijk in 2020 op het exploitatieniveau voor maximale duurzame opbrengst worden gebracht. Indien nodig worden specifieke maatregelen voor overbeviste bestanden overwogen, teneinde de visserijinspanning te laten sporen met de beschikbare vangstmogelijkheden;</w:t>
      </w:r>
    </w:p>
    <w:p>
      <w:pPr>
        <w:pStyle w:val="Point0"/>
        <w:rPr>
          <w:noProof/>
        </w:rPr>
      </w:pPr>
      <w:r>
        <w:rPr>
          <w:noProof/>
        </w:rPr>
        <w:t xml:space="preserve">b) </w:t>
      </w:r>
      <w:r>
        <w:rPr>
          <w:noProof/>
        </w:rPr>
        <w:tab/>
        <w:t xml:space="preserve">maatregelen ter voorkoming, afschrikking en uitbanning van </w:t>
      </w:r>
      <w:r>
        <w:rPr>
          <w:noProof/>
          <w:sz w:val="23"/>
        </w:rPr>
        <w:t>illegale, ongemelde en ongereglementeerde visserijactiviteiten</w:t>
      </w:r>
      <w:r>
        <w:rPr>
          <w:noProof/>
        </w:rPr>
        <w:t xml:space="preserve"> (IOO-activiteiten) in het IOTC-overeenkomstgebied, met inbegrip van plaatsing op de IOO-lijst;</w:t>
      </w:r>
    </w:p>
    <w:p>
      <w:pPr>
        <w:pStyle w:val="Point0"/>
        <w:rPr>
          <w:noProof/>
        </w:rPr>
      </w:pPr>
      <w:r>
        <w:rPr>
          <w:noProof/>
        </w:rPr>
        <w:t xml:space="preserve">c) </w:t>
      </w:r>
      <w:r>
        <w:rPr>
          <w:noProof/>
        </w:rPr>
        <w:tab/>
        <w:t>monitoring-, controle- en bewakingsmaatregelen in het IOTC-overeenkomstgebied met het oog op efficiënte controle en naleving van de in de IOTC goedgekeurde maatregelen;</w:t>
      </w:r>
    </w:p>
    <w:p>
      <w:pPr>
        <w:pStyle w:val="Point0"/>
        <w:rPr>
          <w:noProof/>
        </w:rPr>
      </w:pPr>
      <w:r>
        <w:rPr>
          <w:noProof/>
        </w:rPr>
        <w:t xml:space="preserve">d) </w:t>
      </w:r>
      <w:r>
        <w:rPr>
          <w:noProof/>
        </w:rPr>
        <w:tab/>
        <w:t>maatregelen om het negatieve effect van visserijactiviteiten op de mariene biodiversiteit en de mariene ecosystemen en hun habitats zo veel mogelijk te verminderen, met inbegrip van maatregelen om de vervuiling van het mariene milieu te verminderen, het lozen van kunststoffen op zee te voorkomen en de impact van in de zee aanwezige kunststoffen op de mariene biodiversiteit en de mariene ecosystemen te verkleinen, en beschermende maatregelen voor kwetsbare mariene ecosystemen in het IOTC-overeenkomstgebied in overeenstemming met de resoluties van de Algemene Vergadering van de Verenigde Naties, evenals maatregelen om ongewenste vangsten zo veel mogelijk te voorkomen en te beperken, met name als het om kwetsbare mariene soorten gaat, en om de teruggooi geleidelijk uit te bannen;</w:t>
      </w:r>
    </w:p>
    <w:p>
      <w:pPr>
        <w:pStyle w:val="Point0"/>
        <w:rPr>
          <w:noProof/>
        </w:rPr>
      </w:pPr>
      <w:r>
        <w:rPr>
          <w:noProof/>
        </w:rPr>
        <w:lastRenderedPageBreak/>
        <w:t>e)</w:t>
      </w:r>
      <w:r>
        <w:rPr>
          <w:noProof/>
        </w:rPr>
        <w:tab/>
        <w:t>maatregelen om het gebruik van visaantrekkende voorzieningen (FAD's) te beheren, met name om de gegevensverzameling te verbeteren, het gebruik van de FAD's nauwkeurig te kwantificeren, te volgen en te monitoren, de impact ervan op kwetsbare tonijnbestanden te verkleinen, de mogelijke impact ervan op doelsoorten en niet-doelsoorten en op het ecosysteem te verzachten en de bijdrage aan zwerfvuil op zee te verminderen;</w:t>
      </w:r>
    </w:p>
    <w:p>
      <w:pPr>
        <w:pStyle w:val="Point0"/>
        <w:rPr>
          <w:noProof/>
        </w:rPr>
      </w:pPr>
      <w:r>
        <w:rPr>
          <w:noProof/>
        </w:rPr>
        <w:t>f)</w:t>
      </w:r>
      <w:r>
        <w:rPr>
          <w:noProof/>
        </w:rPr>
        <w:tab/>
        <w:t>maatregelen om de impact van op zee achtergelaten, verloren of anderszins weggegooid vistuig te temperen en de identificatie en inzameling van dat vistuig te vergemakkelijken;</w:t>
      </w:r>
    </w:p>
    <w:p>
      <w:pPr>
        <w:pStyle w:val="Point0"/>
        <w:rPr>
          <w:noProof/>
        </w:rPr>
      </w:pPr>
      <w:r>
        <w:rPr>
          <w:noProof/>
        </w:rPr>
        <w:t xml:space="preserve">g) </w:t>
      </w:r>
      <w:r>
        <w:rPr>
          <w:noProof/>
        </w:rPr>
        <w:tab/>
        <w:t>maatregelen die visserij die enkel bedoeld is om haaienvinnen te verkrijgen, verbieden en op grond waarvan bij de aanlanding van haaien alle vinnen nog op natuurlijke wijze aan het lichaam van de haai moeten vastzitten;</w:t>
      </w:r>
    </w:p>
    <w:p>
      <w:pPr>
        <w:pStyle w:val="Point0"/>
        <w:rPr>
          <w:noProof/>
          <w:lang w:val="nl"/>
        </w:rPr>
      </w:pPr>
      <w:r>
        <w:rPr>
          <w:noProof/>
        </w:rPr>
        <w:t xml:space="preserve">h) </w:t>
      </w:r>
      <w:r>
        <w:rPr>
          <w:noProof/>
        </w:rPr>
        <w:tab/>
        <w:t>aanbevelingen, waar passend en voor zover toegestaan krachtens de desbetreffende oprichtingsdocumenten, tot aanmoediging van de uitvoering van het Verdrag betreffende werk in de visserijsector van de Internationale Arbeidsorganisatie (IAO);</w:t>
      </w:r>
    </w:p>
    <w:p>
      <w:pPr>
        <w:pStyle w:val="Point0"/>
        <w:rPr>
          <w:noProof/>
        </w:rPr>
      </w:pPr>
      <w:r>
        <w:rPr>
          <w:noProof/>
        </w:rPr>
        <w:t>i)</w:t>
      </w:r>
      <w:r>
        <w:rPr>
          <w:noProof/>
        </w:rPr>
        <w:tab/>
        <w:t xml:space="preserve">aanvullende technische maatregelen op basis van advies van de organen en de werkgroepen van de IOTC.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rPr>
      </w:pPr>
      <w:r>
        <w:rPr>
          <w:noProof/>
        </w:rPr>
        <w:lastRenderedPageBreak/>
        <w:t>BIJLAGE II</w:t>
      </w:r>
    </w:p>
    <w:p>
      <w:pPr>
        <w:jc w:val="center"/>
        <w:rPr>
          <w:rFonts w:eastAsia="Calibri"/>
          <w:b/>
          <w:noProof/>
          <w:szCs w:val="20"/>
          <w:u w:val="single"/>
        </w:rPr>
      </w:pPr>
      <w:r>
        <w:rPr>
          <w:b/>
          <w:noProof/>
          <w:u w:val="single"/>
        </w:rPr>
        <w:t>Jaarlijkse nadere bepaling van het standpunt dat de Unie moet innemen</w:t>
      </w:r>
    </w:p>
    <w:p>
      <w:pPr>
        <w:jc w:val="center"/>
        <w:rPr>
          <w:rFonts w:eastAsia="Calibri"/>
          <w:b/>
          <w:noProof/>
          <w:szCs w:val="20"/>
          <w:u w:val="single"/>
        </w:rPr>
      </w:pPr>
      <w:r>
        <w:rPr>
          <w:b/>
          <w:noProof/>
          <w:u w:val="single"/>
        </w:rPr>
        <w:t xml:space="preserve">in de vergaderingen van de Commissie voor de tonijnvisserij in de Indische Oceaan </w:t>
      </w:r>
    </w:p>
    <w:p>
      <w:pPr>
        <w:jc w:val="center"/>
        <w:rPr>
          <w:rFonts w:eastAsia="Calibri"/>
          <w:b/>
          <w:i/>
          <w:strike/>
          <w:noProof/>
          <w:szCs w:val="20"/>
          <w:u w:val="single"/>
        </w:rPr>
      </w:pPr>
    </w:p>
    <w:p>
      <w:pPr>
        <w:rPr>
          <w:rFonts w:eastAsia="Calibri"/>
          <w:noProof/>
          <w:szCs w:val="20"/>
        </w:rPr>
      </w:pPr>
      <w:r>
        <w:rPr>
          <w:noProof/>
        </w:rPr>
        <w:t>Vóór elke vergadering van de IOTC worden, wanneer dat lichaam besluiten met rechtsgevolgen voor de Unie vaststelt, de nodige stappen ondernomen om ervoor te zorgen dat in het standpunt dat namens de Unie zal worden ingenomen, rekening wordt gehouden met de aan de Europese Commissie meegedeelde recentste wetenschappelijke en andere relevante gegevens, overeenkomstig de in bijlage I geformuleerde beginselen en richtsnoeren.</w:t>
      </w:r>
    </w:p>
    <w:p>
      <w:pPr>
        <w:rPr>
          <w:rFonts w:eastAsia="Calibri"/>
          <w:noProof/>
          <w:szCs w:val="20"/>
        </w:rPr>
      </w:pPr>
      <w:r>
        <w:rPr>
          <w:noProof/>
        </w:rPr>
        <w:t>Daartoe zendt de Commissie, tijdig vóór elke vergadering van de IOTC, een op bovengenoemde gegevens gebaseerd schriftelijk document met de voorgestelde nadere bepaling van het namens de Unie in te nemen standpunt toe aan de Raad of zijn voorbereidende instanties, teneinde deze in staat te stellen de nadere bijzonderheden van dit standpunt te bespreken en goed te keuren.</w:t>
      </w:r>
    </w:p>
    <w:p>
      <w:pPr>
        <w:rPr>
          <w:rFonts w:eastAsia="Calibri"/>
          <w:noProof/>
          <w:szCs w:val="20"/>
        </w:rPr>
      </w:pPr>
      <w:r>
        <w:rPr>
          <w:noProof/>
        </w:rPr>
        <w:t>Indien tijdens een vergadering van de IOTC, ook ter plaatse, geen overeenstemming kan worden bereikt over het verwerken van nieuwe elementen in het door de Unie in te nemen standpunt, wordt de zaak voorgelegd aan de Raad of zijn voorbereidende instanties.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 xml:space="preserve">7087/12 REV 1 ADD 1 COR 1. </w:t>
      </w:r>
    </w:p>
  </w:footnote>
  <w:footnote w:id="2">
    <w:p>
      <w:pPr>
        <w:pStyle w:val="FootnoteText"/>
      </w:pPr>
      <w:r>
        <w:rPr>
          <w:rStyle w:val="FootnoteReference"/>
        </w:rPr>
        <w:footnoteRef/>
      </w:r>
      <w:r>
        <w:tab/>
        <w:t>JOIN (2016) 49 final van 10.11.2016.</w:t>
      </w:r>
    </w:p>
  </w:footnote>
  <w:footnote w:id="3">
    <w:p>
      <w:pPr>
        <w:pStyle w:val="FootnoteText"/>
        <w:rPr>
          <w:lang w:val="en-US"/>
        </w:rPr>
      </w:pPr>
      <w:r>
        <w:rPr>
          <w:rStyle w:val="FootnoteReference"/>
        </w:rPr>
        <w:footnoteRef/>
      </w:r>
      <w:r>
        <w:tab/>
        <w:t>7348/1/17 REV 1 van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49CD7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9DAA6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74BA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6DC7B0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9:38: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bij"/>
    <w:docVar w:name="LW_ACCOMPAGNANT.CP" w:val="bij"/>
    <w:docVar w:name="LW_ANNEX_NBR_FIRST" w:val="1"/>
    <w:docVar w:name="LW_ANNEX_NBR_LAST" w:val="2"/>
    <w:docVar w:name="LW_ANNEX_UNIQUE" w:val="0"/>
    <w:docVar w:name="LW_CORRIGENDUM" w:val="&lt;UNUSED&gt;"/>
    <w:docVar w:name="LW_COVERPAGE_EXISTS" w:val="True"/>
    <w:docVar w:name="LW_COVERPAGE_GUID" w:val="CA0828EE-CB03-4A70-96FF-3C0E5811941E"/>
    <w:docVar w:name="LW_COVERPAGE_TYPE" w:val="1"/>
    <w:docVar w:name="LW_CROSSREFERENCE" w:val="&lt;UNUSED&gt;"/>
    <w:docVar w:name="LW_DocType" w:val="ANNEX"/>
    <w:docVar w:name="LW_EMISSION" w:val="6.3.2019"/>
    <w:docVar w:name="LW_EMISSION_ISODATE" w:val="2019-03-06"/>
    <w:docVar w:name="LW_EMISSION_LOCATION" w:val="BRX"/>
    <w:docVar w:name="LW_EMISSION_PREFIX" w:val="Brussel, "/>
    <w:docVar w:name="LW_EMISSION_SUFFIX" w:val="&lt;EMPTY&gt;"/>
    <w:docVar w:name="LW_ID_DOCSTRUCTURE" w:val="COM/ANNEX"/>
    <w:docVar w:name="LW_ID_DOCTYPE" w:val="SG-017"/>
    <w:docVar w:name="LW_LANGUE" w:val="NL"/>
    <w:docVar w:name="LW_LEVEL_OF_SENSITIVITY" w:val="Standard treatment"/>
    <w:docVar w:name="LW_NOM.INST" w:val="EUROPESE COMMISSIE"/>
    <w:docVar w:name="LW_NOM.INST_JOINTDOC" w:val="&lt;EMPTY&gt;"/>
    <w:docVar w:name="LW_OBJETACTEPRINCIPAL" w:val="betreffende het standpunt dat namens de Europese Unie moet worden ingenomen in de Commissie voor de tonijnvisserij in de Indische Oceaan en tot intrekking van Besluit 9398/1/14 REV 1"/>
    <w:docVar w:name="LW_OBJETACTEPRINCIPAL.CP" w:val="betreffende het standpunt dat namens de Europese Unie moet worden ingenomen in de Commissie voor de tonijnvisserij in de Indische Oceaan en tot intrekking van Besluit 9398/1/14 REV 1"/>
    <w:docVar w:name="LW_PART_NBR" w:val="&lt;UNUSED&gt;"/>
    <w:docVar w:name="LW_PART_NBR_TOTAL" w:val="&lt;UNUSED&gt;"/>
    <w:docVar w:name="LW_REF.INST.NEW" w:val="COM"/>
    <w:docVar w:name="LW_REF.INST.NEW_ADOPTED" w:val="final"/>
    <w:docVar w:name="LW_REF.INST.NEW_TEXT" w:val="(2019) 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JLAGEN"/>
    <w:docVar w:name="LW_TYPE.DOC.CP" w:val="BIJLAGEN"/>
    <w:docVar w:name="LW_TYPEACTEPRINCIPAL" w:val="voorstel voor een besluit van de Raad"/>
    <w:docVar w:name="LW_TYPEACTEPRINCIPAL.CP" w:val="voorstel voor een 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5</Pages>
  <Words>1217</Words>
  <Characters>7146</Characters>
  <Application>Microsoft Office Word</Application>
  <DocSecurity>0</DocSecurity>
  <Lines>123</Lines>
  <Paragraphs>37</Paragraphs>
  <ScaleCrop>false</ScaleCrop>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2019-02-28T10:08:00Z</dcterms:created>
  <dcterms:modified xsi:type="dcterms:W3CDTF">2019-03-06T08:38:00Z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