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9FAEEC87-0D88-4BBA-8189-78C59D1A98BE" style="width:450.8pt;height:460.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autoSpaceDE w:val="0"/>
        <w:autoSpaceDN w:val="0"/>
        <w:adjustRightInd w:val="0"/>
        <w:spacing w:after="0" w:line="360" w:lineRule="auto"/>
        <w:jc w:val="center"/>
        <w:rPr>
          <w:rFonts w:ascii="Times New Roman" w:hAnsi="Times New Roman" w:cs="Times New Roman"/>
          <w:b/>
          <w:i/>
          <w:noProof/>
          <w:color w:val="000000"/>
          <w:sz w:val="28"/>
          <w:szCs w:val="28"/>
        </w:rPr>
      </w:pPr>
      <w:bookmarkStart w:id="1" w:name="_GoBack"/>
      <w:bookmarkEnd w:id="1"/>
      <w:r>
        <w:rPr>
          <w:rFonts w:ascii="Times New Roman" w:hAnsi="Times New Roman"/>
          <w:b/>
          <w:i/>
          <w:noProof/>
          <w:color w:val="000000"/>
          <w:sz w:val="28"/>
        </w:rPr>
        <w:lastRenderedPageBreak/>
        <w:t>ΔΙΜΕΡΕΣ ΣΥΜΒΟΥΛΙΟ ΕΠΙΤΗΡΗΣΗΣ</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ΓΙΑ ΤΗ ΣΥΜΦΩΝΙΑ</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ΜΕΤΑΞΥ</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ΤΩΝ ΗΝΩΜΕΝΩΝ ΠΟΛΙΤΕΙΩΝ ΑΜΕΡΙΚΗΣ</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ΚΑΙ ΤΗΣ ΕΥΡΩΠΑΪΚΗΣ ΕΝΩΣΗΣ</w:t>
      </w:r>
    </w:p>
    <w:p>
      <w:pPr>
        <w:autoSpaceDE w:val="0"/>
        <w:autoSpaceDN w:val="0"/>
        <w:adjustRightInd w:val="0"/>
        <w:spacing w:after="0" w:line="360" w:lineRule="auto"/>
        <w:jc w:val="center"/>
        <w:rPr>
          <w:rFonts w:ascii="Times New Roman" w:hAnsi="Times New Roman" w:cs="Times New Roman"/>
          <w:b/>
          <w:i/>
          <w:noProof/>
          <w:color w:val="000000"/>
          <w:sz w:val="28"/>
          <w:szCs w:val="28"/>
        </w:rPr>
      </w:pPr>
      <w:r>
        <w:rPr>
          <w:rFonts w:ascii="Times New Roman" w:hAnsi="Times New Roman"/>
          <w:b/>
          <w:i/>
          <w:noProof/>
          <w:color w:val="000000"/>
          <w:sz w:val="28"/>
        </w:rPr>
        <w:t>ΟΣΟΝ ΑΦΟΡΑ ΤΗ ΣΥΝΕΡΓΑΣΙΑ ΓΙΑ ΤΗΝ ΚΑΝΟΝΙΣΤΙΚΗ ΡΥΘΜΙΣΗ ΤΗΣ ΑΣΦΑΛΕΙΑΣ ΤΗΣ ΠΟΛΙΤΙΚΗΣ ΑΕΡΟΠΟΡΙΑΣ</w:t>
      </w:r>
    </w:p>
    <w:p>
      <w:pPr>
        <w:autoSpaceDE w:val="0"/>
        <w:autoSpaceDN w:val="0"/>
        <w:adjustRightInd w:val="0"/>
        <w:spacing w:after="0" w:line="240" w:lineRule="atLeast"/>
        <w:jc w:val="center"/>
        <w:rPr>
          <w:rFonts w:ascii="Times New Roman" w:hAnsi="Times New Roman" w:cs="Times New Roman"/>
          <w:b/>
          <w:i/>
          <w:noProof/>
          <w:color w:val="000000"/>
          <w:sz w:val="28"/>
          <w:szCs w:val="28"/>
        </w:rPr>
      </w:pPr>
    </w:p>
    <w:p>
      <w:pPr>
        <w:autoSpaceDE w:val="0"/>
        <w:autoSpaceDN w:val="0"/>
        <w:adjustRightInd w:val="0"/>
        <w:spacing w:before="120" w:after="120" w:line="240" w:lineRule="atLeast"/>
        <w:jc w:val="center"/>
        <w:rPr>
          <w:rFonts w:ascii="Times New Roman" w:hAnsi="Times New Roman" w:cs="Times New Roman"/>
          <w:b/>
          <w:i/>
          <w:noProof/>
          <w:color w:val="000000"/>
          <w:sz w:val="28"/>
          <w:szCs w:val="28"/>
        </w:rPr>
      </w:pPr>
      <w:r>
        <w:rPr>
          <w:rFonts w:ascii="Times New Roman" w:hAnsi="Times New Roman"/>
          <w:b/>
          <w:i/>
          <w:noProof/>
          <w:color w:val="000000"/>
          <w:sz w:val="28"/>
        </w:rPr>
        <w:t>ΠΡΑΚΤΙΚΟ ΑΠΟΦΑΣΗΣ</w:t>
      </w:r>
    </w:p>
    <w:p>
      <w:pPr>
        <w:autoSpaceDE w:val="0"/>
        <w:autoSpaceDN w:val="0"/>
        <w:adjustRightInd w:val="0"/>
        <w:spacing w:before="120" w:line="240" w:lineRule="atLeast"/>
        <w:jc w:val="center"/>
        <w:rPr>
          <w:rFonts w:ascii="Times New Roman" w:hAnsi="Times New Roman" w:cs="Times New Roman"/>
          <w:b/>
          <w:i/>
          <w:noProof/>
          <w:color w:val="000000"/>
          <w:sz w:val="28"/>
          <w:szCs w:val="28"/>
        </w:rPr>
      </w:pPr>
      <w:r>
        <w:rPr>
          <w:rFonts w:ascii="Times New Roman" w:hAnsi="Times New Roman"/>
          <w:b/>
          <w:i/>
          <w:noProof/>
          <w:color w:val="000000"/>
          <w:sz w:val="28"/>
        </w:rPr>
        <w:t>ΑΠΟΦΑΣΗ ΑΡΙΘ. 0011</w:t>
      </w:r>
    </w:p>
    <w:p>
      <w:pPr>
        <w:autoSpaceDE w:val="0"/>
        <w:autoSpaceDN w:val="0"/>
        <w:adjustRightInd w:val="0"/>
        <w:spacing w:before="120" w:line="240" w:lineRule="atLeast"/>
        <w:rPr>
          <w:noProof/>
          <w:color w:val="000000"/>
        </w:rPr>
      </w:pPr>
    </w:p>
    <w:p>
      <w:pPr>
        <w:autoSpaceDE w:val="0"/>
        <w:autoSpaceDN w:val="0"/>
        <w:adjustRightInd w:val="0"/>
        <w:spacing w:before="120" w:after="120" w:line="240" w:lineRule="atLeast"/>
        <w:ind w:left="-90"/>
        <w:rPr>
          <w:rFonts w:ascii="Times New Roman" w:hAnsi="Times New Roman" w:cs="Times New Roman"/>
          <w:noProof/>
          <w:sz w:val="24"/>
          <w:szCs w:val="24"/>
        </w:rPr>
      </w:pPr>
      <w:r>
        <w:rPr>
          <w:rFonts w:ascii="Times New Roman" w:hAnsi="Times New Roman"/>
          <w:noProof/>
          <w:sz w:val="24"/>
        </w:rPr>
        <w:t>Σημειώνεται ότι η τροποποίηση 1 της συμφωνίας μεταξύ των Ηνωμένων Πολιτειών Αμερικής και της Ευρωπαϊκής Κοινότητας όσον αφορά τη συνεργασία για την κανονιστική ρύθμιση της ασφάλειας της πολιτικής αεροπορίας (η «συμφωνία»), επεκτείνει το πεδίο εφαρμογής του άρθρου 2.Β της συμφωνίας, ώστε να συμπεριλάβει, μεταξύ άλλων, την αδειοδότηση και εκπαίδευση προσωπικού·</w:t>
      </w:r>
    </w:p>
    <w:p>
      <w:pPr>
        <w:autoSpaceDE w:val="0"/>
        <w:autoSpaceDN w:val="0"/>
        <w:adjustRightInd w:val="0"/>
        <w:spacing w:before="120" w:after="120" w:line="240" w:lineRule="atLeast"/>
        <w:ind w:left="-90"/>
        <w:rPr>
          <w:rFonts w:ascii="Times New Roman" w:hAnsi="Times New Roman" w:cs="Times New Roman"/>
          <w:noProof/>
          <w:sz w:val="24"/>
          <w:szCs w:val="24"/>
        </w:rPr>
      </w:pPr>
      <w:r>
        <w:rPr>
          <w:rFonts w:ascii="Times New Roman" w:hAnsi="Times New Roman"/>
          <w:noProof/>
          <w:sz w:val="24"/>
        </w:rPr>
        <w:t xml:space="preserve">Επισημαίνεται επίσης ότι το άρθρο 5 της συμφωνίας, όπως τροποποιήθηκε, προβλέπει την κατάρτιση νέων παραρτημάτων της συμφωνίας για θέματα που εμπίπτουν στο πεδίο εφαρμογής της συμφωνίας, τα οποία στη συνέχεια, σύμφωνα με το άρθρο 19.Γ, τίθενται σε ισχύ κατόπιν απόφασης του Διμερούς Συμβουλίου Επιτήρησης («ΔΣΕ»), που έχει συσταθεί σύμφωνα με το άρθρο 3· </w:t>
      </w:r>
    </w:p>
    <w:p>
      <w:pPr>
        <w:autoSpaceDE w:val="0"/>
        <w:autoSpaceDN w:val="0"/>
        <w:adjustRightInd w:val="0"/>
        <w:spacing w:before="120" w:after="120" w:line="240" w:lineRule="atLeast"/>
        <w:ind w:left="-90"/>
        <w:rPr>
          <w:rFonts w:ascii="Times New Roman" w:hAnsi="Times New Roman" w:cs="Times New Roman"/>
          <w:noProof/>
          <w:sz w:val="24"/>
          <w:szCs w:val="24"/>
        </w:rPr>
      </w:pPr>
      <w:r>
        <w:rPr>
          <w:rFonts w:ascii="Times New Roman" w:hAnsi="Times New Roman"/>
          <w:noProof/>
          <w:sz w:val="24"/>
        </w:rPr>
        <w:t xml:space="preserve">Το ΔΣΕ αποφασίζει ως εξής: </w:t>
      </w:r>
    </w:p>
    <w:p>
      <w:pPr>
        <w:pStyle w:val="ListParagraph"/>
        <w:numPr>
          <w:ilvl w:val="0"/>
          <w:numId w:val="2"/>
        </w:numPr>
        <w:autoSpaceDE w:val="0"/>
        <w:autoSpaceDN w:val="0"/>
        <w:adjustRightInd w:val="0"/>
        <w:spacing w:before="120" w:after="120" w:line="240" w:lineRule="atLeast"/>
        <w:rPr>
          <w:rFonts w:ascii="Times New Roman" w:hAnsi="Times New Roman" w:cs="Times New Roman"/>
          <w:noProof/>
          <w:sz w:val="24"/>
          <w:szCs w:val="24"/>
        </w:rPr>
      </w:pPr>
      <w:r>
        <w:rPr>
          <w:rFonts w:ascii="Times New Roman" w:hAnsi="Times New Roman"/>
          <w:noProof/>
          <w:sz w:val="24"/>
        </w:rPr>
        <w:t>Να εγκρίνει το παράρτημα 4 (Εκπαιδευτικές συσκευές προσομοίωσης πτήσης) της συμφωνίας που επισυνάπτεται στην παρούσα απόφαση.</w:t>
      </w:r>
    </w:p>
    <w:p>
      <w:pPr>
        <w:pStyle w:val="ListParagraph"/>
        <w:autoSpaceDE w:val="0"/>
        <w:autoSpaceDN w:val="0"/>
        <w:adjustRightInd w:val="0"/>
        <w:spacing w:before="120" w:after="120" w:line="240" w:lineRule="atLeast"/>
        <w:ind w:left="630"/>
        <w:rPr>
          <w:rFonts w:ascii="Times New Roman" w:hAnsi="Times New Roman" w:cs="Times New Roman"/>
          <w:noProof/>
          <w:sz w:val="24"/>
          <w:szCs w:val="24"/>
        </w:rPr>
      </w:pPr>
    </w:p>
    <w:p>
      <w:pPr>
        <w:pStyle w:val="ListParagraph"/>
        <w:numPr>
          <w:ilvl w:val="0"/>
          <w:numId w:val="2"/>
        </w:numPr>
        <w:autoSpaceDE w:val="0"/>
        <w:autoSpaceDN w:val="0"/>
        <w:adjustRightInd w:val="0"/>
        <w:spacing w:before="120" w:after="120" w:line="240" w:lineRule="atLeast"/>
        <w:rPr>
          <w:rFonts w:ascii="Times New Roman" w:hAnsi="Times New Roman" w:cs="Times New Roman"/>
          <w:noProof/>
          <w:sz w:val="24"/>
          <w:szCs w:val="24"/>
        </w:rPr>
      </w:pPr>
      <w:r>
        <w:rPr>
          <w:rFonts w:ascii="Times New Roman" w:hAnsi="Times New Roman"/>
          <w:noProof/>
          <w:sz w:val="24"/>
        </w:rPr>
        <w:t>Το παράρτημα 4 (Εκπαιδευτικές συσκευές προσομοίωσης πτήσης) της συμφωνίας αρχίζει να ισχύει κατά την ημερομηνία της τελευταίας υπογραφής κατωτέρω.</w:t>
      </w:r>
    </w:p>
    <w:p>
      <w:pPr>
        <w:autoSpaceDE w:val="0"/>
        <w:autoSpaceDN w:val="0"/>
        <w:adjustRightInd w:val="0"/>
        <w:spacing w:before="120" w:after="120" w:line="240" w:lineRule="atLeast"/>
        <w:ind w:left="-90"/>
        <w:rPr>
          <w:rFonts w:ascii="Times New Roman" w:hAnsi="Times New Roman" w:cs="Times New Roman"/>
          <w:noProof/>
          <w:sz w:val="24"/>
          <w:szCs w:val="24"/>
        </w:rPr>
      </w:pPr>
    </w:p>
    <w:p>
      <w:pPr>
        <w:tabs>
          <w:tab w:val="left" w:pos="-720"/>
        </w:tabs>
        <w:spacing w:after="0"/>
        <w:ind w:left="-90"/>
        <w:rPr>
          <w:rFonts w:ascii="Times New Roman" w:hAnsi="Times New Roman" w:cs="Times New Roman"/>
          <w:noProof/>
          <w:sz w:val="24"/>
          <w:szCs w:val="24"/>
        </w:rPr>
      </w:pPr>
      <w:r>
        <w:rPr>
          <w:rFonts w:ascii="Times New Roman" w:hAnsi="Times New Roman"/>
          <w:noProof/>
          <w:sz w:val="24"/>
        </w:rPr>
        <w:t>Για το Διμερές Συμβούλιο Επιτήρησης:</w:t>
      </w:r>
    </w:p>
    <w:p>
      <w:pPr>
        <w:tabs>
          <w:tab w:val="left" w:pos="-720"/>
        </w:tabs>
        <w:spacing w:after="120"/>
        <w:rPr>
          <w:rFonts w:ascii="Times New Roman" w:hAnsi="Times New Roman" w:cs="Times New Roman"/>
          <w:noProof/>
          <w:sz w:val="24"/>
          <w:szCs w:val="24"/>
        </w:rPr>
      </w:pPr>
    </w:p>
    <w:tbl>
      <w:tblPr>
        <w:tblW w:w="9748" w:type="dxa"/>
        <w:jc w:val="center"/>
        <w:tblLayout w:type="fixed"/>
        <w:tblLook w:val="0000" w:firstRow="0" w:lastRow="0" w:firstColumn="0" w:lastColumn="0" w:noHBand="0" w:noVBand="0"/>
      </w:tblPr>
      <w:tblGrid>
        <w:gridCol w:w="1105"/>
        <w:gridCol w:w="3653"/>
        <w:gridCol w:w="270"/>
        <w:gridCol w:w="1117"/>
        <w:gridCol w:w="3603"/>
      </w:tblGrid>
      <w:tr>
        <w:trPr>
          <w:cantSplit/>
          <w:jc w:val="center"/>
        </w:trPr>
        <w:tc>
          <w:tcPr>
            <w:tcW w:w="4758" w:type="dxa"/>
            <w:gridSpan w:val="2"/>
          </w:tcPr>
          <w:p>
            <w:pPr>
              <w:spacing w:after="0"/>
              <w:rPr>
                <w:rFonts w:ascii="Times New Roman" w:hAnsi="Times New Roman" w:cs="Times New Roman"/>
                <w:noProof/>
                <w:sz w:val="24"/>
                <w:szCs w:val="24"/>
              </w:rPr>
            </w:pPr>
            <w:r>
              <w:rPr>
                <w:rFonts w:ascii="Times New Roman" w:hAnsi="Times New Roman"/>
                <w:noProof/>
                <w:sz w:val="24"/>
              </w:rPr>
              <w:t>ΟΜΟΣΠΟΝΔΙΑΚΗ ΥΠΗΡΕΣΙΑ ΠΟΛΙΤΙΚΗΣ ΑΕΡΟΠΟΡΙΑΣ</w:t>
            </w:r>
          </w:p>
          <w:p>
            <w:pPr>
              <w:spacing w:after="0"/>
              <w:rPr>
                <w:rFonts w:ascii="Times New Roman" w:hAnsi="Times New Roman" w:cs="Times New Roman"/>
                <w:noProof/>
                <w:sz w:val="24"/>
                <w:szCs w:val="24"/>
              </w:rPr>
            </w:pPr>
            <w:r>
              <w:rPr>
                <w:rFonts w:ascii="Times New Roman" w:hAnsi="Times New Roman"/>
                <w:noProof/>
                <w:sz w:val="24"/>
              </w:rPr>
              <w:t>ΔΙΕΥΘΥΝΣΗ ΜΕΤΑΦΟΡΩΝ</w:t>
            </w:r>
          </w:p>
          <w:p>
            <w:pPr>
              <w:spacing w:after="0"/>
              <w:rPr>
                <w:rFonts w:ascii="Times New Roman" w:hAnsi="Times New Roman" w:cs="Times New Roman"/>
                <w:noProof/>
                <w:sz w:val="24"/>
                <w:szCs w:val="24"/>
              </w:rPr>
            </w:pPr>
            <w:r>
              <w:rPr>
                <w:rFonts w:ascii="Times New Roman" w:hAnsi="Times New Roman"/>
                <w:noProof/>
                <w:sz w:val="24"/>
              </w:rPr>
              <w:t>ΗΝΩΜΕΝΕΣ ΠΟΛΙΤΕΙΕΣ ΑΜΕΡΙΚΗΣ</w:t>
            </w:r>
          </w:p>
        </w:tc>
        <w:tc>
          <w:tcPr>
            <w:tcW w:w="270" w:type="dxa"/>
          </w:tcPr>
          <w:p>
            <w:pPr>
              <w:rPr>
                <w:rFonts w:ascii="Times New Roman" w:hAnsi="Times New Roman" w:cs="Times New Roman"/>
                <w:noProof/>
                <w:sz w:val="24"/>
                <w:szCs w:val="24"/>
              </w:rPr>
            </w:pPr>
          </w:p>
        </w:tc>
        <w:tc>
          <w:tcPr>
            <w:tcW w:w="4720" w:type="dxa"/>
            <w:gridSpan w:val="2"/>
          </w:tcPr>
          <w:p>
            <w:pPr>
              <w:spacing w:after="0"/>
              <w:rPr>
                <w:rFonts w:ascii="Times New Roman" w:hAnsi="Times New Roman" w:cs="Times New Roman"/>
                <w:noProof/>
                <w:sz w:val="24"/>
                <w:szCs w:val="24"/>
              </w:rPr>
            </w:pPr>
            <w:r>
              <w:rPr>
                <w:rFonts w:ascii="Times New Roman" w:hAnsi="Times New Roman"/>
                <w:noProof/>
                <w:sz w:val="24"/>
              </w:rPr>
              <w:t>ΕΥΡΩΠΑΪΚΗ ΕΠΙΤΡΟΠΗ</w:t>
            </w:r>
          </w:p>
          <w:p>
            <w:pPr>
              <w:spacing w:after="0"/>
              <w:rPr>
                <w:rFonts w:ascii="Times New Roman" w:hAnsi="Times New Roman" w:cs="Times New Roman"/>
                <w:noProof/>
                <w:sz w:val="24"/>
                <w:szCs w:val="24"/>
              </w:rPr>
            </w:pPr>
            <w:r>
              <w:rPr>
                <w:rFonts w:ascii="Times New Roman" w:hAnsi="Times New Roman"/>
                <w:noProof/>
                <w:sz w:val="24"/>
              </w:rPr>
              <w:t>ΕΥΡΩΠΑΪΚΗ ΕΝΩΣΗ</w:t>
            </w:r>
          </w:p>
          <w:p>
            <w:pPr>
              <w:spacing w:after="0"/>
              <w:rPr>
                <w:rFonts w:ascii="Times New Roman" w:hAnsi="Times New Roman" w:cs="Times New Roman"/>
                <w:noProof/>
                <w:sz w:val="24"/>
                <w:szCs w:val="24"/>
              </w:rPr>
            </w:pPr>
          </w:p>
        </w:tc>
      </w:tr>
      <w:tr>
        <w:trPr>
          <w:cantSplit/>
          <w:jc w:val="center"/>
        </w:trPr>
        <w:tc>
          <w:tcPr>
            <w:tcW w:w="1105" w:type="dxa"/>
          </w:tcPr>
          <w:p>
            <w:pPr>
              <w:spacing w:after="0"/>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ΑΠΟ:</w:t>
            </w:r>
          </w:p>
        </w:tc>
        <w:tc>
          <w:tcPr>
            <w:tcW w:w="3653" w:type="dxa"/>
            <w:tcBorders>
              <w:bottom w:val="single" w:sz="4" w:space="0" w:color="auto"/>
            </w:tcBorders>
          </w:tcPr>
          <w:p>
            <w:pPr>
              <w:spacing w:after="0"/>
              <w:rPr>
                <w:rFonts w:ascii="Times New Roman" w:hAnsi="Times New Roman" w:cs="Times New Roman"/>
                <w:noProof/>
                <w:sz w:val="24"/>
                <w:szCs w:val="24"/>
              </w:rPr>
            </w:pPr>
          </w:p>
          <w:p>
            <w:pPr>
              <w:rPr>
                <w:rFonts w:ascii="Times New Roman" w:hAnsi="Times New Roman" w:cs="Times New Roman"/>
                <w:noProof/>
                <w:sz w:val="24"/>
                <w:szCs w:val="24"/>
              </w:rPr>
            </w:pPr>
          </w:p>
        </w:tc>
        <w:tc>
          <w:tcPr>
            <w:tcW w:w="270" w:type="dxa"/>
          </w:tcPr>
          <w:p>
            <w:pPr>
              <w:rPr>
                <w:rFonts w:ascii="Times New Roman" w:hAnsi="Times New Roman" w:cs="Times New Roman"/>
                <w:noProof/>
                <w:sz w:val="24"/>
                <w:szCs w:val="24"/>
              </w:rPr>
            </w:pPr>
          </w:p>
        </w:tc>
        <w:tc>
          <w:tcPr>
            <w:tcW w:w="1117" w:type="dxa"/>
          </w:tcPr>
          <w:p>
            <w:pPr>
              <w:spacing w:after="0"/>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ΑΠΟ:</w:t>
            </w:r>
          </w:p>
        </w:tc>
        <w:tc>
          <w:tcPr>
            <w:tcW w:w="3603" w:type="dxa"/>
            <w:tcBorders>
              <w:bottom w:val="single" w:sz="4" w:space="0" w:color="auto"/>
            </w:tcBorders>
          </w:tcPr>
          <w:p>
            <w:pPr>
              <w:rPr>
                <w:rFonts w:ascii="Times New Roman" w:hAnsi="Times New Roman" w:cs="Times New Roman"/>
                <w:noProof/>
                <w:sz w:val="24"/>
                <w:szCs w:val="24"/>
              </w:rPr>
            </w:pPr>
          </w:p>
        </w:tc>
      </w:tr>
      <w:tr>
        <w:trPr>
          <w:cantSplit/>
          <w:jc w:val="center"/>
        </w:trPr>
        <w:tc>
          <w:tcPr>
            <w:tcW w:w="1105" w:type="dxa"/>
          </w:tcPr>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ΤΙΤΛΟΣ</w:t>
            </w:r>
          </w:p>
        </w:tc>
        <w:tc>
          <w:tcPr>
            <w:tcW w:w="3653" w:type="dxa"/>
          </w:tcPr>
          <w:p>
            <w:pPr>
              <w:rPr>
                <w:rFonts w:ascii="Times New Roman" w:hAnsi="Times New Roman" w:cs="Times New Roman"/>
                <w:noProof/>
                <w:sz w:val="24"/>
                <w:szCs w:val="24"/>
                <w:lang w:val="en-GB"/>
              </w:rPr>
            </w:pPr>
          </w:p>
          <w:p>
            <w:pPr>
              <w:rPr>
                <w:rFonts w:ascii="Times New Roman" w:hAnsi="Times New Roman" w:cs="Times New Roman"/>
                <w:noProof/>
                <w:sz w:val="24"/>
                <w:szCs w:val="24"/>
                <w:lang w:val="en-GB"/>
              </w:rPr>
            </w:pPr>
            <w:r>
              <w:rPr>
                <w:rFonts w:ascii="Times New Roman" w:hAnsi="Times New Roman"/>
                <w:noProof/>
                <w:sz w:val="24"/>
                <w:lang w:val="en-GB"/>
              </w:rPr>
              <w:t>Associate Administrator for Aviation Safety</w:t>
            </w:r>
          </w:p>
        </w:tc>
        <w:tc>
          <w:tcPr>
            <w:tcW w:w="270" w:type="dxa"/>
          </w:tcPr>
          <w:p>
            <w:pPr>
              <w:rPr>
                <w:rFonts w:ascii="Times New Roman" w:hAnsi="Times New Roman" w:cs="Times New Roman"/>
                <w:noProof/>
                <w:sz w:val="24"/>
                <w:szCs w:val="24"/>
                <w:lang w:val="en-GB"/>
              </w:rPr>
            </w:pPr>
          </w:p>
        </w:tc>
        <w:tc>
          <w:tcPr>
            <w:tcW w:w="1117" w:type="dxa"/>
          </w:tcPr>
          <w:p>
            <w:pPr>
              <w:rPr>
                <w:rFonts w:ascii="Times New Roman" w:hAnsi="Times New Roman" w:cs="Times New Roman"/>
                <w:noProof/>
                <w:sz w:val="24"/>
                <w:szCs w:val="24"/>
                <w:lang w:val="en-GB"/>
              </w:rPr>
            </w:pPr>
          </w:p>
          <w:p>
            <w:pPr>
              <w:rPr>
                <w:rFonts w:ascii="Times New Roman" w:hAnsi="Times New Roman" w:cs="Times New Roman"/>
                <w:noProof/>
                <w:sz w:val="24"/>
                <w:szCs w:val="24"/>
              </w:rPr>
            </w:pPr>
            <w:r>
              <w:rPr>
                <w:rFonts w:ascii="Times New Roman" w:hAnsi="Times New Roman"/>
                <w:noProof/>
                <w:sz w:val="24"/>
              </w:rPr>
              <w:t>ΤΙΤΛΟΣ</w:t>
            </w:r>
          </w:p>
        </w:tc>
        <w:tc>
          <w:tcPr>
            <w:tcW w:w="3603" w:type="dxa"/>
          </w:tcPr>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Διευθυντής, αρμόδιος σε θέματα αεροπορίας </w:t>
            </w:r>
          </w:p>
          <w:p>
            <w:pPr>
              <w:rPr>
                <w:rFonts w:ascii="Times New Roman" w:hAnsi="Times New Roman" w:cs="Times New Roman"/>
                <w:noProof/>
                <w:sz w:val="24"/>
                <w:szCs w:val="24"/>
              </w:rPr>
            </w:pPr>
            <w:r>
              <w:rPr>
                <w:rFonts w:ascii="Times New Roman" w:hAnsi="Times New Roman"/>
                <w:noProof/>
                <w:sz w:val="24"/>
              </w:rPr>
              <w:t>Γενική Διεύθυνση Κινητικότητας και Μεταφορών, Ευρωπαϊκή Επιτροπή</w:t>
            </w:r>
          </w:p>
        </w:tc>
      </w:tr>
      <w:tr>
        <w:trPr>
          <w:cantSplit/>
          <w:trHeight w:val="585"/>
          <w:jc w:val="center"/>
        </w:trPr>
        <w:tc>
          <w:tcPr>
            <w:tcW w:w="1105" w:type="dxa"/>
          </w:tcPr>
          <w:p>
            <w:pPr>
              <w:spacing w:after="0"/>
              <w:rPr>
                <w:rFonts w:ascii="Times New Roman" w:hAnsi="Times New Roman" w:cs="Times New Roman"/>
                <w:noProof/>
                <w:sz w:val="24"/>
                <w:szCs w:val="24"/>
              </w:rPr>
            </w:pPr>
            <w:r>
              <w:rPr>
                <w:rFonts w:ascii="Times New Roman" w:hAnsi="Times New Roman"/>
                <w:noProof/>
                <w:sz w:val="24"/>
              </w:rPr>
              <w:t>ΗΜΕΡΟΜΗΝΙΑ:</w:t>
            </w:r>
          </w:p>
        </w:tc>
        <w:tc>
          <w:tcPr>
            <w:tcW w:w="3653" w:type="dxa"/>
          </w:tcPr>
          <w:p>
            <w:pPr>
              <w:rPr>
                <w:rFonts w:ascii="Times New Roman" w:hAnsi="Times New Roman" w:cs="Times New Roman"/>
                <w:noProof/>
                <w:sz w:val="24"/>
                <w:szCs w:val="24"/>
              </w:rPr>
            </w:pPr>
          </w:p>
        </w:tc>
        <w:tc>
          <w:tcPr>
            <w:tcW w:w="270" w:type="dxa"/>
          </w:tcPr>
          <w:p>
            <w:pPr>
              <w:rPr>
                <w:rFonts w:ascii="Times New Roman" w:hAnsi="Times New Roman" w:cs="Times New Roman"/>
                <w:noProof/>
                <w:sz w:val="24"/>
                <w:szCs w:val="24"/>
              </w:rPr>
            </w:pPr>
          </w:p>
        </w:tc>
        <w:tc>
          <w:tcPr>
            <w:tcW w:w="1117" w:type="dxa"/>
          </w:tcPr>
          <w:p>
            <w:pPr>
              <w:spacing w:after="0"/>
              <w:rPr>
                <w:rFonts w:ascii="Times New Roman" w:hAnsi="Times New Roman" w:cs="Times New Roman"/>
                <w:noProof/>
                <w:sz w:val="24"/>
                <w:szCs w:val="24"/>
              </w:rPr>
            </w:pPr>
            <w:r>
              <w:rPr>
                <w:rFonts w:ascii="Times New Roman" w:hAnsi="Times New Roman"/>
                <w:noProof/>
                <w:sz w:val="24"/>
              </w:rPr>
              <w:t>ΗΜΕΡΟΜΗΝΙΑ:</w:t>
            </w:r>
          </w:p>
        </w:tc>
        <w:tc>
          <w:tcPr>
            <w:tcW w:w="3603" w:type="dxa"/>
          </w:tcPr>
          <w:p>
            <w:pPr>
              <w:rPr>
                <w:rFonts w:ascii="Times New Roman" w:hAnsi="Times New Roman" w:cs="Times New Roman"/>
                <w:noProof/>
                <w:sz w:val="24"/>
                <w:szCs w:val="24"/>
              </w:rPr>
            </w:pPr>
          </w:p>
        </w:tc>
      </w:tr>
      <w:tr>
        <w:trPr>
          <w:cantSplit/>
          <w:trHeight w:val="620"/>
          <w:jc w:val="center"/>
        </w:trPr>
        <w:tc>
          <w:tcPr>
            <w:tcW w:w="1105" w:type="dxa"/>
          </w:tcPr>
          <w:p>
            <w:pPr>
              <w:rPr>
                <w:rFonts w:ascii="Times New Roman" w:hAnsi="Times New Roman" w:cs="Times New Roman"/>
                <w:noProof/>
                <w:sz w:val="24"/>
                <w:szCs w:val="24"/>
              </w:rPr>
            </w:pPr>
            <w:r>
              <w:rPr>
                <w:rFonts w:ascii="Times New Roman" w:hAnsi="Times New Roman"/>
                <w:noProof/>
                <w:sz w:val="24"/>
              </w:rPr>
              <w:t>ΤΟΠΟΣ:</w:t>
            </w:r>
          </w:p>
        </w:tc>
        <w:tc>
          <w:tcPr>
            <w:tcW w:w="3653" w:type="dxa"/>
          </w:tcPr>
          <w:p>
            <w:pPr>
              <w:rPr>
                <w:rFonts w:ascii="Times New Roman" w:hAnsi="Times New Roman" w:cs="Times New Roman"/>
                <w:noProof/>
                <w:sz w:val="24"/>
                <w:szCs w:val="24"/>
              </w:rPr>
            </w:pPr>
            <w:r>
              <w:rPr>
                <w:rFonts w:ascii="Times New Roman" w:hAnsi="Times New Roman"/>
                <w:noProof/>
                <w:sz w:val="24"/>
              </w:rPr>
              <w:t>Ουάσιγκτον</w:t>
            </w:r>
          </w:p>
        </w:tc>
        <w:tc>
          <w:tcPr>
            <w:tcW w:w="270" w:type="dxa"/>
          </w:tcPr>
          <w:p>
            <w:pPr>
              <w:rPr>
                <w:rFonts w:ascii="Times New Roman" w:hAnsi="Times New Roman" w:cs="Times New Roman"/>
                <w:noProof/>
                <w:sz w:val="24"/>
                <w:szCs w:val="24"/>
              </w:rPr>
            </w:pPr>
          </w:p>
        </w:tc>
        <w:tc>
          <w:tcPr>
            <w:tcW w:w="1117" w:type="dxa"/>
          </w:tcPr>
          <w:p>
            <w:pPr>
              <w:rPr>
                <w:rFonts w:ascii="Times New Roman" w:hAnsi="Times New Roman" w:cs="Times New Roman"/>
                <w:noProof/>
                <w:sz w:val="24"/>
                <w:szCs w:val="24"/>
              </w:rPr>
            </w:pPr>
            <w:r>
              <w:rPr>
                <w:rFonts w:ascii="Times New Roman" w:hAnsi="Times New Roman"/>
                <w:noProof/>
                <w:sz w:val="24"/>
              </w:rPr>
              <w:t>ΤΟΠΟΣ:</w:t>
            </w:r>
          </w:p>
        </w:tc>
        <w:tc>
          <w:tcPr>
            <w:tcW w:w="3603" w:type="dxa"/>
          </w:tcPr>
          <w:p>
            <w:pPr>
              <w:rPr>
                <w:rFonts w:ascii="Times New Roman" w:hAnsi="Times New Roman" w:cs="Times New Roman"/>
                <w:noProof/>
                <w:sz w:val="24"/>
                <w:szCs w:val="24"/>
              </w:rPr>
            </w:pPr>
            <w:r>
              <w:rPr>
                <w:rFonts w:ascii="Times New Roman" w:hAnsi="Times New Roman"/>
                <w:noProof/>
                <w:sz w:val="24"/>
              </w:rPr>
              <w:t>Βρυξέλλες, Βέλγιο</w:t>
            </w:r>
          </w:p>
        </w:tc>
      </w:tr>
    </w:tbl>
    <w:p>
      <w:pPr>
        <w:rPr>
          <w:noProof/>
        </w:rPr>
      </w:pPr>
    </w:p>
    <w:p>
      <w:pPr>
        <w:rPr>
          <w:noProof/>
        </w:rPr>
      </w:pPr>
    </w:p>
    <w:p>
      <w:pPr>
        <w:autoSpaceDE w:val="0"/>
        <w:autoSpaceDN w:val="0"/>
        <w:adjustRightInd w:val="0"/>
        <w:spacing w:after="0" w:line="360" w:lineRule="auto"/>
        <w:jc w:val="center"/>
        <w:rPr>
          <w:noProof/>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b/>
        <w:sz w:val="48"/>
      </w:rPr>
      <w:t>E</w:t>
    </w:r>
    <w:r>
      <w:rPr>
        <w:rFonts w:ascii="Arial" w:hAnsi="Arial"/>
        <w:b/>
        <w:sz w:val="48"/>
        <w:lang w:val="en-GB"/>
      </w:rPr>
      <w:t>L</w:t>
    </w:r>
    <w:r>
      <w:tab/>
    </w:r>
    <w:r>
      <w:tab/>
    </w:r>
    <w:r>
      <w:tab/>
    </w:r>
    <w:r>
      <w:rPr>
        <w:rFonts w:ascii="Arial" w:hAnsi="Arial"/>
        <w:b/>
        <w:sz w:val="48"/>
      </w:rPr>
      <w:t>E</w:t>
    </w:r>
    <w:r>
      <w:rPr>
        <w:rFonts w:ascii="Arial" w:hAnsi="Arial"/>
        <w:b/>
        <w:sz w:val="48"/>
        <w:lang w:val="en-GB"/>
      </w:rPr>
      <w:t>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C95"/>
    <w:multiLevelType w:val="hybridMultilevel"/>
    <w:tmpl w:val="E0E44B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2A5091D"/>
    <w:multiLevelType w:val="hybridMultilevel"/>
    <w:tmpl w:val="A836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w:docVar w:name="LW_ANNEX_NBR_FIRST" w:val="1"/>
    <w:docVar w:name="LW_ANNEX_NBR_LAST" w:val="1"/>
    <w:docVar w:name="LW_ANNEX_UNIQUE" w:val="0"/>
    <w:docVar w:name="LW_CORRIGENDUM" w:val="&lt;UNUSED&gt;"/>
    <w:docVar w:name="LW_COVERPAGE_EXISTS" w:val="True"/>
    <w:docVar w:name="LW_COVERPAGE_GUID" w:val="9FAEEC87-0D88-4BBA-8189-78C59D1A98BE"/>
    <w:docVar w:name="LW_COVERPAGE_TYPE" w:val="1"/>
    <w:docVar w:name="LW_CROSSREFERENCE" w:val="&lt;UNUSED&gt;"/>
    <w:docVar w:name="LW_DocType" w:val="NORMAL"/>
    <w:docVar w:name="LW_EMISSION" w:val="7.3.2019"/>
    <w:docVar w:name="LW_EMISSION_ISODATE" w:val="2019-03-07"/>
    <w:docVar w:name="LW_EMISSION_LOCATION" w:val="BRX"/>
    <w:docVar w:name="LW_EMISSION_PREFIX" w:val="Βρυξέλλες, "/>
    <w:docVar w:name="LW_EMISSION_SUFFIX" w:val=" "/>
    <w:docVar w:name="LW_ID_DOCTYPE_NONLW" w:val="CP-036"/>
    <w:docVar w:name="LW_LANGUE" w:val="EL"/>
    <w:docVar w:name="LW_LEVEL_OF_SENSITIVITY" w:val="Standard treatment"/>
    <w:docVar w:name="LW_NOM.INST" w:val="\u917?\u933?\u929?\u937?\u928?\u913?\u938?\u922?\u919? \u917?\u928?\u921?\u932?\u929?\u927?\u928?\u919?"/>
    <w:docVar w:name="LW_NOM.INST_JOINTDOC" w:val="&lt;EMPTY&gt;"/>
    <w:docVar w:name="LW_OBJETACTEPRINCIPAL.CP" w:val="_x000b_\u947?\u953?\u945? \u964?\u951? \u952?\u941?\u963?\u951? \u960?\u959?\u965? \u952?\u945? \u955?\u940?\u946?\u949?\u953? \u951? \u917?\u965?\u961?\u969?\u960?\u945?\u970?\u954?\u942? \u904?\u957?\u969?\u963?\u951? \u963?\u964?\u959? \u916?\u953?\u956?\u949?\u961?\u941?\u962? \u931?\u965?\u956?\u946?\u959?\u973?\u955?\u953?\u959? \u917?\u960?\u953?\u964?\u942?\u961?\u951?\u963?\u951?\u962? \u946?\u940?\u963?\u949?\u953? \u964?\u951?\u962? \u963?\u965?\u956?\u966?\u969?\u957?\u943?\u945?\u962? \u956?\u949?\u964?\u945?\u958?\u973? \u964?\u969?\u957? \u919?\u957?\u969?\u956?\u941?\u957?\u969?\u957? \u928?\u959?\u955?\u953?\u964?\u949?\u953?\u974?\u957? \u964?\u951?\u962? \u913?\u956?\u949?\u961?\u953?\u954?\u942?\u962? \u954?\u945?\u953? \u964?\u951?\u962? \u917?\u965?\u961?\u969?\u960?\u945?\u970?\u954?\u942?\u962? \u922?\u959?\u953?\u957?\u972?\u964?\u951?\u964?\u945?\u962? \u947?\u953?\u945? \u964?\u951? \u963?\u965?\u957?\u949?\u961?\u947?\u945?\u963?\u943?\u945? \u972?\u963?\u959?\u957? \u945?\u966?\u959?\u961?\u940? \u964?\u951?\u957? \u954?\u945?\u957?\u959?\u957?\u953?\u963?\u964?\u953?\u954?\u942? \u961?\u973?\u952?\u956?\u953?\u963?\u951? \u964?\u951?\u962? \u945?\u963?\u966?\u940?\u955?\u949?\u953?\u945?\u962? \u964?\u951?\u962? \u960?\u959?\u955?\u953?\u964?\u953?\u954?\u942?\u962? \u945?\u949?\u961?\u959?\u960?\u959?\u961?\u943?\u945?\u962?, \u963?\u967?\u949?\u964?\u953?\u954?\u940? \u956?\u949? \u964?\u951?\u957? \u960?\u961?\u959?\u963?\u952?\u942?\u954?\u951? \u960?\u945?\u961?\u945?\u961?\u964?\u942?\u956?\u945?\u964?\u959?\u962? 4 \u963?\u964?\u951? \u963?\u965?\u956?\u966?\u969?\u957?\u943?\u945?"/>
    <w:docVar w:name="LW_PART_NBR" w:val="1"/>
    <w:docVar w:name="LW_PART_NBR_TOTAL" w:val="1"/>
    <w:docVar w:name="LW_REF.INST.NEW" w:val="COM"/>
    <w:docVar w:name="LW_REF.INST.NEW_ADOPTED" w:val="final"/>
    <w:docVar w:name="LW_REF.INST.NEW_TEXT" w:val="(2019) 1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_x000b_"/>
    <w:docVar w:name="LW_TYPEACTEPRINCIPAL.CP" w:val="\u928?\u961?\u972?\u964?\u945?\u963?\u951?\u962? \u947?\u953?\u945?_x000b_\u913?\u928?\u927?\u934?\u913?\u931?\u919? \u932?\u927?\u933? \u931?\u933?\u924?\u914?\u927?\u933?\u923?\u921?\u927?\u933?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autoSpaceDE w:val="0"/>
      <w:autoSpaceDN w:val="0"/>
      <w:adjustRightInd w:val="0"/>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autoSpaceDE w:val="0"/>
      <w:autoSpaceDN w:val="0"/>
      <w:adjustRightInd w:val="0"/>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228</Words>
  <Characters>1469</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Dipasquantonio, Maria (FAA)</dc:creator>
  <cp:lastModifiedBy>WES PDFC Administrator</cp:lastModifiedBy>
  <cp:revision>12</cp:revision>
  <cp:lastPrinted>2018-12-06T11:40:00Z</cp:lastPrinted>
  <dcterms:created xsi:type="dcterms:W3CDTF">2018-12-06T12:00:00Z</dcterms:created>
  <dcterms:modified xsi:type="dcterms:W3CDTF">2019-03-06T15:36:00Z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