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F33CBE3-84C3-4480-8B40-999F9FECF77B" style="width:450.7pt;height:433.8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autoSpaceDE w:val="0"/>
        <w:autoSpaceDN w:val="0"/>
        <w:adjustRightInd w:val="0"/>
        <w:spacing w:after="0" w:line="360" w:lineRule="auto"/>
        <w:jc w:val="center"/>
        <w:rPr>
          <w:rFonts w:ascii="Times New Roman" w:hAnsi="Times New Roman" w:cs="Times New Roman"/>
          <w:b/>
          <w:i/>
          <w:noProof/>
          <w:color w:val="000000"/>
          <w:sz w:val="28"/>
          <w:szCs w:val="28"/>
        </w:rPr>
      </w:pPr>
      <w:bookmarkStart w:id="1" w:name="_GoBack"/>
      <w:bookmarkEnd w:id="1"/>
      <w:r>
        <w:rPr>
          <w:rFonts w:ascii="Times New Roman" w:hAnsi="Times New Roman"/>
          <w:b/>
          <w:i/>
          <w:noProof/>
          <w:color w:val="000000"/>
          <w:sz w:val="28"/>
        </w:rPr>
        <w:lastRenderedPageBreak/>
        <w:t>CONSILIUL BILATERAL DE SUPRAVEGHERE</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PENTRU ACORDUL</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ÎNTRE</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STATELE UNITE ALE AMERICII</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ȘI UNIUNEA EUROPEANĂ</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PRIVIND COOPERAREA ÎN MATERIE DE REGLEMENTARE A SIGURANȚEI AVIAȚIEI CIVILE</w:t>
      </w:r>
    </w:p>
    <w:p>
      <w:pPr>
        <w:autoSpaceDE w:val="0"/>
        <w:autoSpaceDN w:val="0"/>
        <w:adjustRightInd w:val="0"/>
        <w:spacing w:after="0" w:line="240" w:lineRule="atLeast"/>
        <w:jc w:val="center"/>
        <w:rPr>
          <w:rFonts w:ascii="Times New Roman" w:hAnsi="Times New Roman" w:cs="Times New Roman"/>
          <w:b/>
          <w:i/>
          <w:noProof/>
          <w:color w:val="000000"/>
          <w:sz w:val="28"/>
          <w:szCs w:val="28"/>
        </w:rPr>
      </w:pPr>
    </w:p>
    <w:p>
      <w:pPr>
        <w:autoSpaceDE w:val="0"/>
        <w:autoSpaceDN w:val="0"/>
        <w:adjustRightInd w:val="0"/>
        <w:spacing w:before="120" w:after="120" w:line="240" w:lineRule="atLeast"/>
        <w:jc w:val="center"/>
        <w:rPr>
          <w:rFonts w:ascii="Times New Roman" w:hAnsi="Times New Roman" w:cs="Times New Roman"/>
          <w:b/>
          <w:i/>
          <w:noProof/>
          <w:color w:val="000000"/>
          <w:sz w:val="28"/>
          <w:szCs w:val="28"/>
        </w:rPr>
      </w:pPr>
      <w:r>
        <w:rPr>
          <w:rFonts w:ascii="Times New Roman" w:hAnsi="Times New Roman"/>
          <w:b/>
          <w:i/>
          <w:noProof/>
          <w:color w:val="000000"/>
          <w:sz w:val="28"/>
        </w:rPr>
        <w:t>PROCESUL-VERBAL AL DECIZIEI</w:t>
      </w:r>
    </w:p>
    <w:p>
      <w:pPr>
        <w:autoSpaceDE w:val="0"/>
        <w:autoSpaceDN w:val="0"/>
        <w:adjustRightInd w:val="0"/>
        <w:spacing w:before="120" w:line="240" w:lineRule="atLeast"/>
        <w:jc w:val="center"/>
        <w:rPr>
          <w:rFonts w:ascii="Times New Roman" w:hAnsi="Times New Roman" w:cs="Times New Roman"/>
          <w:b/>
          <w:i/>
          <w:noProof/>
          <w:color w:val="000000"/>
          <w:sz w:val="28"/>
          <w:szCs w:val="28"/>
        </w:rPr>
      </w:pPr>
      <w:r>
        <w:rPr>
          <w:rFonts w:ascii="Times New Roman" w:hAnsi="Times New Roman"/>
          <w:b/>
          <w:i/>
          <w:noProof/>
          <w:color w:val="000000"/>
          <w:sz w:val="28"/>
        </w:rPr>
        <w:t>DECIZIA NR. 0011</w:t>
      </w:r>
    </w:p>
    <w:p>
      <w:pPr>
        <w:autoSpaceDE w:val="0"/>
        <w:autoSpaceDN w:val="0"/>
        <w:adjustRightInd w:val="0"/>
        <w:spacing w:before="120" w:line="240" w:lineRule="atLeast"/>
        <w:rPr>
          <w:noProof/>
          <w:color w:val="000000"/>
        </w:rPr>
      </w:pPr>
    </w:p>
    <w:p>
      <w:pPr>
        <w:autoSpaceDE w:val="0"/>
        <w:autoSpaceDN w:val="0"/>
        <w:adjustRightInd w:val="0"/>
        <w:spacing w:before="120" w:after="120" w:line="240" w:lineRule="atLeast"/>
        <w:ind w:left="-90"/>
        <w:rPr>
          <w:rFonts w:ascii="Times New Roman" w:hAnsi="Times New Roman" w:cs="Times New Roman"/>
          <w:noProof/>
          <w:sz w:val="24"/>
          <w:szCs w:val="24"/>
        </w:rPr>
      </w:pPr>
      <w:r>
        <w:rPr>
          <w:rFonts w:ascii="Times New Roman" w:hAnsi="Times New Roman"/>
          <w:noProof/>
          <w:sz w:val="24"/>
        </w:rPr>
        <w:t>Luând act de faptul că Amendamentul 1 la Acordul între Statele Unite ale Americii și Comunitatea Europeană privind cooperarea în materie de reglementare a siguranței aviației civile („acordul”) extinde domeniul de aplicare al articolului 2 alineatul B din acord pentru a include, printre altele, acordarea de licențe și pregătirea personalului;</w:t>
      </w:r>
    </w:p>
    <w:p>
      <w:pPr>
        <w:autoSpaceDE w:val="0"/>
        <w:autoSpaceDN w:val="0"/>
        <w:adjustRightInd w:val="0"/>
        <w:spacing w:before="120" w:after="120" w:line="240" w:lineRule="atLeast"/>
        <w:ind w:left="-90"/>
        <w:rPr>
          <w:rFonts w:ascii="Times New Roman" w:hAnsi="Times New Roman" w:cs="Times New Roman"/>
          <w:noProof/>
          <w:sz w:val="24"/>
          <w:szCs w:val="24"/>
        </w:rPr>
      </w:pPr>
      <w:r>
        <w:rPr>
          <w:rFonts w:ascii="Times New Roman" w:hAnsi="Times New Roman"/>
          <w:noProof/>
          <w:sz w:val="24"/>
        </w:rPr>
        <w:t>Luând act, în continuare, de faptul că articolul 5 din acord, astfel cum a fost amendat, prevede elaborarea de noi anexe la acord pentru aspecte din domeniul de aplicare al acordului, care intră apoi în vigoare, în temeiul articolului 19 alineatul C, în urma unei decizii a Consiliului bilateral de supraveghere (</w:t>
      </w:r>
      <w:r>
        <w:rPr>
          <w:rFonts w:ascii="Times New Roman" w:hAnsi="Times New Roman"/>
          <w:i/>
          <w:noProof/>
          <w:sz w:val="24"/>
        </w:rPr>
        <w:t>Bilateral Oversight Board</w:t>
      </w:r>
      <w:r>
        <w:rPr>
          <w:rFonts w:ascii="Times New Roman" w:hAnsi="Times New Roman"/>
          <w:noProof/>
          <w:sz w:val="24"/>
        </w:rPr>
        <w:t xml:space="preserve">, BOB) instituit în temeiul articolului 3, </w:t>
      </w:r>
    </w:p>
    <w:p>
      <w:pPr>
        <w:autoSpaceDE w:val="0"/>
        <w:autoSpaceDN w:val="0"/>
        <w:adjustRightInd w:val="0"/>
        <w:spacing w:before="120" w:after="120" w:line="240" w:lineRule="atLeast"/>
        <w:ind w:left="-90"/>
        <w:rPr>
          <w:rFonts w:ascii="Times New Roman" w:hAnsi="Times New Roman" w:cs="Times New Roman"/>
          <w:noProof/>
          <w:sz w:val="24"/>
          <w:szCs w:val="24"/>
        </w:rPr>
      </w:pPr>
      <w:r>
        <w:rPr>
          <w:rFonts w:ascii="Times New Roman" w:hAnsi="Times New Roman"/>
          <w:noProof/>
          <w:sz w:val="24"/>
        </w:rPr>
        <w:t xml:space="preserve">BOB decide după cum urmează: </w:t>
      </w:r>
    </w:p>
    <w:p>
      <w:pPr>
        <w:pStyle w:val="ListParagraph"/>
        <w:numPr>
          <w:ilvl w:val="0"/>
          <w:numId w:val="2"/>
        </w:numPr>
        <w:autoSpaceDE w:val="0"/>
        <w:autoSpaceDN w:val="0"/>
        <w:adjustRightInd w:val="0"/>
        <w:spacing w:before="120" w:after="120" w:line="240" w:lineRule="atLeast"/>
        <w:rPr>
          <w:rFonts w:ascii="Times New Roman" w:hAnsi="Times New Roman" w:cs="Times New Roman"/>
          <w:noProof/>
          <w:sz w:val="24"/>
          <w:szCs w:val="24"/>
        </w:rPr>
      </w:pPr>
      <w:r>
        <w:rPr>
          <w:rFonts w:ascii="Times New Roman" w:hAnsi="Times New Roman"/>
          <w:noProof/>
          <w:sz w:val="24"/>
        </w:rPr>
        <w:t>Adoptă anexa 4 (Echipamente de pregătire sintetică pentru zbor) la acord, atașată prezentei decizii.</w:t>
      </w:r>
    </w:p>
    <w:p>
      <w:pPr>
        <w:pStyle w:val="ListParagraph"/>
        <w:autoSpaceDE w:val="0"/>
        <w:autoSpaceDN w:val="0"/>
        <w:adjustRightInd w:val="0"/>
        <w:spacing w:before="120" w:after="120" w:line="240" w:lineRule="atLeast"/>
        <w:ind w:left="630"/>
        <w:rPr>
          <w:rFonts w:ascii="Times New Roman" w:hAnsi="Times New Roman" w:cs="Times New Roman"/>
          <w:noProof/>
          <w:sz w:val="24"/>
          <w:szCs w:val="24"/>
        </w:rPr>
      </w:pPr>
    </w:p>
    <w:p>
      <w:pPr>
        <w:pStyle w:val="ListParagraph"/>
        <w:numPr>
          <w:ilvl w:val="0"/>
          <w:numId w:val="2"/>
        </w:numPr>
        <w:autoSpaceDE w:val="0"/>
        <w:autoSpaceDN w:val="0"/>
        <w:adjustRightInd w:val="0"/>
        <w:spacing w:before="120" w:after="120" w:line="240" w:lineRule="atLeast"/>
        <w:rPr>
          <w:rFonts w:ascii="Times New Roman" w:hAnsi="Times New Roman" w:cs="Times New Roman"/>
          <w:noProof/>
          <w:sz w:val="24"/>
          <w:szCs w:val="24"/>
        </w:rPr>
      </w:pPr>
      <w:r>
        <w:rPr>
          <w:rFonts w:ascii="Times New Roman" w:hAnsi="Times New Roman"/>
          <w:noProof/>
          <w:sz w:val="24"/>
        </w:rPr>
        <w:t>Anexa 4 (Echipamente de pregătire sintetică pentru zbor) la acord intră în vigoare la data semnării sale de către ultima dintre părțile de mai jos.</w:t>
      </w:r>
    </w:p>
    <w:p>
      <w:pPr>
        <w:autoSpaceDE w:val="0"/>
        <w:autoSpaceDN w:val="0"/>
        <w:adjustRightInd w:val="0"/>
        <w:spacing w:before="120" w:after="120" w:line="240" w:lineRule="atLeast"/>
        <w:ind w:left="-90"/>
        <w:rPr>
          <w:rFonts w:ascii="Times New Roman" w:hAnsi="Times New Roman" w:cs="Times New Roman"/>
          <w:noProof/>
          <w:sz w:val="24"/>
          <w:szCs w:val="24"/>
        </w:rPr>
      </w:pPr>
    </w:p>
    <w:p>
      <w:pPr>
        <w:tabs>
          <w:tab w:val="left" w:pos="-720"/>
        </w:tabs>
        <w:spacing w:after="0"/>
        <w:ind w:left="-90"/>
        <w:rPr>
          <w:rFonts w:ascii="Times New Roman" w:hAnsi="Times New Roman" w:cs="Times New Roman"/>
          <w:noProof/>
          <w:sz w:val="24"/>
          <w:szCs w:val="24"/>
        </w:rPr>
      </w:pPr>
      <w:r>
        <w:rPr>
          <w:rFonts w:ascii="Times New Roman" w:hAnsi="Times New Roman"/>
          <w:noProof/>
          <w:sz w:val="24"/>
        </w:rPr>
        <w:t>Pentru Consiliul bilateral de supraveghere:</w:t>
      </w:r>
    </w:p>
    <w:p>
      <w:pPr>
        <w:tabs>
          <w:tab w:val="left" w:pos="-720"/>
        </w:tabs>
        <w:spacing w:after="120"/>
        <w:rPr>
          <w:rFonts w:ascii="Times New Roman" w:hAnsi="Times New Roman" w:cs="Times New Roman"/>
          <w:noProof/>
          <w:sz w:val="24"/>
          <w:szCs w:val="24"/>
        </w:rPr>
      </w:pPr>
    </w:p>
    <w:tbl>
      <w:tblPr>
        <w:tblW w:w="9748" w:type="dxa"/>
        <w:jc w:val="center"/>
        <w:tblLayout w:type="fixed"/>
        <w:tblLook w:val="0000" w:firstRow="0" w:lastRow="0" w:firstColumn="0" w:lastColumn="0" w:noHBand="0" w:noVBand="0"/>
      </w:tblPr>
      <w:tblGrid>
        <w:gridCol w:w="1105"/>
        <w:gridCol w:w="3653"/>
        <w:gridCol w:w="270"/>
        <w:gridCol w:w="1117"/>
        <w:gridCol w:w="3603"/>
      </w:tblGrid>
      <w:tr>
        <w:trPr>
          <w:cantSplit/>
          <w:jc w:val="center"/>
        </w:trPr>
        <w:tc>
          <w:tcPr>
            <w:tcW w:w="4758" w:type="dxa"/>
            <w:gridSpan w:val="2"/>
          </w:tcPr>
          <w:p>
            <w:pPr>
              <w:spacing w:after="0"/>
              <w:rPr>
                <w:rFonts w:ascii="Times New Roman" w:hAnsi="Times New Roman" w:cs="Times New Roman"/>
                <w:noProof/>
                <w:sz w:val="24"/>
                <w:szCs w:val="24"/>
              </w:rPr>
            </w:pPr>
            <w:r>
              <w:rPr>
                <w:rFonts w:ascii="Times New Roman" w:hAnsi="Times New Roman"/>
                <w:noProof/>
                <w:sz w:val="24"/>
              </w:rPr>
              <w:t>ADMINISTRAȚIA AVIAȚIEI FEDERALE</w:t>
            </w:r>
          </w:p>
          <w:p>
            <w:pPr>
              <w:spacing w:after="0"/>
              <w:rPr>
                <w:rFonts w:ascii="Times New Roman" w:hAnsi="Times New Roman" w:cs="Times New Roman"/>
                <w:noProof/>
                <w:sz w:val="24"/>
                <w:szCs w:val="24"/>
              </w:rPr>
            </w:pPr>
            <w:r>
              <w:rPr>
                <w:rFonts w:ascii="Times New Roman" w:hAnsi="Times New Roman"/>
                <w:noProof/>
                <w:sz w:val="24"/>
              </w:rPr>
              <w:t>DEPARTAMENTUL TRANSPORTURI</w:t>
            </w:r>
          </w:p>
          <w:p>
            <w:pPr>
              <w:spacing w:after="0"/>
              <w:rPr>
                <w:rFonts w:ascii="Times New Roman" w:hAnsi="Times New Roman" w:cs="Times New Roman"/>
                <w:noProof/>
                <w:sz w:val="24"/>
                <w:szCs w:val="24"/>
              </w:rPr>
            </w:pPr>
            <w:r>
              <w:rPr>
                <w:rFonts w:ascii="Times New Roman" w:hAnsi="Times New Roman"/>
                <w:noProof/>
                <w:sz w:val="24"/>
              </w:rPr>
              <w:t>STATELE UNITE ALE AMERICII</w:t>
            </w:r>
          </w:p>
        </w:tc>
        <w:tc>
          <w:tcPr>
            <w:tcW w:w="270" w:type="dxa"/>
          </w:tcPr>
          <w:p>
            <w:pPr>
              <w:rPr>
                <w:rFonts w:ascii="Times New Roman" w:hAnsi="Times New Roman" w:cs="Times New Roman"/>
                <w:noProof/>
                <w:sz w:val="24"/>
                <w:szCs w:val="24"/>
              </w:rPr>
            </w:pPr>
          </w:p>
        </w:tc>
        <w:tc>
          <w:tcPr>
            <w:tcW w:w="4720" w:type="dxa"/>
            <w:gridSpan w:val="2"/>
          </w:tcPr>
          <w:p>
            <w:pPr>
              <w:spacing w:after="0"/>
              <w:rPr>
                <w:rFonts w:ascii="Times New Roman" w:hAnsi="Times New Roman" w:cs="Times New Roman"/>
                <w:noProof/>
                <w:sz w:val="24"/>
                <w:szCs w:val="24"/>
              </w:rPr>
            </w:pPr>
            <w:r>
              <w:rPr>
                <w:rFonts w:ascii="Times New Roman" w:hAnsi="Times New Roman"/>
                <w:noProof/>
                <w:sz w:val="24"/>
              </w:rPr>
              <w:t>COMISIA EUROPEANĂ</w:t>
            </w:r>
          </w:p>
          <w:p>
            <w:pPr>
              <w:spacing w:after="0"/>
              <w:rPr>
                <w:rFonts w:ascii="Times New Roman" w:hAnsi="Times New Roman" w:cs="Times New Roman"/>
                <w:noProof/>
                <w:sz w:val="24"/>
                <w:szCs w:val="24"/>
              </w:rPr>
            </w:pPr>
            <w:r>
              <w:rPr>
                <w:rFonts w:ascii="Times New Roman" w:hAnsi="Times New Roman"/>
                <w:noProof/>
                <w:sz w:val="24"/>
              </w:rPr>
              <w:t>UNIUNEA EUROPEANĂ</w:t>
            </w:r>
          </w:p>
          <w:p>
            <w:pPr>
              <w:spacing w:after="0"/>
              <w:rPr>
                <w:rFonts w:ascii="Times New Roman" w:hAnsi="Times New Roman" w:cs="Times New Roman"/>
                <w:noProof/>
                <w:sz w:val="24"/>
                <w:szCs w:val="24"/>
              </w:rPr>
            </w:pPr>
          </w:p>
        </w:tc>
      </w:tr>
      <w:tr>
        <w:trPr>
          <w:cantSplit/>
          <w:jc w:val="center"/>
        </w:trPr>
        <w:tc>
          <w:tcPr>
            <w:tcW w:w="1105" w:type="dxa"/>
          </w:tcPr>
          <w:p>
            <w:pPr>
              <w:spacing w:after="0"/>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PRIN:</w:t>
            </w:r>
          </w:p>
        </w:tc>
        <w:tc>
          <w:tcPr>
            <w:tcW w:w="3653" w:type="dxa"/>
            <w:tcBorders>
              <w:bottom w:val="single" w:sz="4" w:space="0" w:color="auto"/>
            </w:tcBorders>
          </w:tcPr>
          <w:p>
            <w:pPr>
              <w:spacing w:after="0"/>
              <w:rPr>
                <w:rFonts w:ascii="Times New Roman" w:hAnsi="Times New Roman" w:cs="Times New Roman"/>
                <w:noProof/>
                <w:sz w:val="24"/>
                <w:szCs w:val="24"/>
              </w:rPr>
            </w:pPr>
          </w:p>
          <w:p>
            <w:pPr>
              <w:rPr>
                <w:rFonts w:ascii="Times New Roman" w:hAnsi="Times New Roman" w:cs="Times New Roman"/>
                <w:noProof/>
                <w:sz w:val="24"/>
                <w:szCs w:val="24"/>
              </w:rPr>
            </w:pPr>
          </w:p>
        </w:tc>
        <w:tc>
          <w:tcPr>
            <w:tcW w:w="270" w:type="dxa"/>
          </w:tcPr>
          <w:p>
            <w:pPr>
              <w:rPr>
                <w:rFonts w:ascii="Times New Roman" w:hAnsi="Times New Roman" w:cs="Times New Roman"/>
                <w:noProof/>
                <w:sz w:val="24"/>
                <w:szCs w:val="24"/>
              </w:rPr>
            </w:pPr>
          </w:p>
        </w:tc>
        <w:tc>
          <w:tcPr>
            <w:tcW w:w="1117" w:type="dxa"/>
          </w:tcPr>
          <w:p>
            <w:pPr>
              <w:spacing w:after="0"/>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PRIN:</w:t>
            </w:r>
          </w:p>
        </w:tc>
        <w:tc>
          <w:tcPr>
            <w:tcW w:w="3603" w:type="dxa"/>
            <w:tcBorders>
              <w:bottom w:val="single" w:sz="4" w:space="0" w:color="auto"/>
            </w:tcBorders>
          </w:tcPr>
          <w:p>
            <w:pPr>
              <w:rPr>
                <w:rFonts w:ascii="Times New Roman" w:hAnsi="Times New Roman" w:cs="Times New Roman"/>
                <w:noProof/>
                <w:sz w:val="24"/>
                <w:szCs w:val="24"/>
              </w:rPr>
            </w:pPr>
          </w:p>
        </w:tc>
      </w:tr>
      <w:tr>
        <w:trPr>
          <w:cantSplit/>
          <w:jc w:val="center"/>
        </w:trPr>
        <w:tc>
          <w:tcPr>
            <w:tcW w:w="1105" w:type="dxa"/>
          </w:tcPr>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TITLU:</w:t>
            </w:r>
          </w:p>
        </w:tc>
        <w:tc>
          <w:tcPr>
            <w:tcW w:w="3653" w:type="dxa"/>
          </w:tcPr>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Administrator asociat pentru siguranța aviației</w:t>
            </w:r>
          </w:p>
        </w:tc>
        <w:tc>
          <w:tcPr>
            <w:tcW w:w="270" w:type="dxa"/>
          </w:tcPr>
          <w:p>
            <w:pPr>
              <w:rPr>
                <w:rFonts w:ascii="Times New Roman" w:hAnsi="Times New Roman" w:cs="Times New Roman"/>
                <w:noProof/>
                <w:sz w:val="24"/>
                <w:szCs w:val="24"/>
              </w:rPr>
            </w:pPr>
          </w:p>
        </w:tc>
        <w:tc>
          <w:tcPr>
            <w:tcW w:w="1117" w:type="dxa"/>
          </w:tcPr>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TITLU:</w:t>
            </w:r>
          </w:p>
        </w:tc>
        <w:tc>
          <w:tcPr>
            <w:tcW w:w="3603" w:type="dxa"/>
          </w:tcPr>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Director, Aviație </w:t>
            </w:r>
          </w:p>
          <w:p>
            <w:pPr>
              <w:rPr>
                <w:rFonts w:ascii="Times New Roman" w:hAnsi="Times New Roman" w:cs="Times New Roman"/>
                <w:noProof/>
                <w:sz w:val="24"/>
                <w:szCs w:val="24"/>
              </w:rPr>
            </w:pPr>
            <w:r>
              <w:rPr>
                <w:rFonts w:ascii="Times New Roman" w:hAnsi="Times New Roman"/>
                <w:noProof/>
                <w:sz w:val="24"/>
              </w:rPr>
              <w:t>Direcția Generală Mobilitate și Transporturi, Comisia Europeană</w:t>
            </w:r>
          </w:p>
        </w:tc>
      </w:tr>
      <w:tr>
        <w:trPr>
          <w:cantSplit/>
          <w:trHeight w:val="585"/>
          <w:jc w:val="center"/>
        </w:trPr>
        <w:tc>
          <w:tcPr>
            <w:tcW w:w="1105" w:type="dxa"/>
          </w:tcPr>
          <w:p>
            <w:pPr>
              <w:spacing w:after="0"/>
              <w:rPr>
                <w:rFonts w:ascii="Times New Roman" w:hAnsi="Times New Roman" w:cs="Times New Roman"/>
                <w:noProof/>
                <w:sz w:val="24"/>
                <w:szCs w:val="24"/>
              </w:rPr>
            </w:pPr>
            <w:r>
              <w:rPr>
                <w:rFonts w:ascii="Times New Roman" w:hAnsi="Times New Roman"/>
                <w:noProof/>
                <w:sz w:val="24"/>
              </w:rPr>
              <w:t>DATA:</w:t>
            </w:r>
          </w:p>
        </w:tc>
        <w:tc>
          <w:tcPr>
            <w:tcW w:w="3653" w:type="dxa"/>
          </w:tcPr>
          <w:p>
            <w:pPr>
              <w:rPr>
                <w:rFonts w:ascii="Times New Roman" w:hAnsi="Times New Roman" w:cs="Times New Roman"/>
                <w:noProof/>
                <w:sz w:val="24"/>
                <w:szCs w:val="24"/>
              </w:rPr>
            </w:pPr>
          </w:p>
        </w:tc>
        <w:tc>
          <w:tcPr>
            <w:tcW w:w="270" w:type="dxa"/>
          </w:tcPr>
          <w:p>
            <w:pPr>
              <w:rPr>
                <w:rFonts w:ascii="Times New Roman" w:hAnsi="Times New Roman" w:cs="Times New Roman"/>
                <w:noProof/>
                <w:sz w:val="24"/>
                <w:szCs w:val="24"/>
              </w:rPr>
            </w:pPr>
          </w:p>
        </w:tc>
        <w:tc>
          <w:tcPr>
            <w:tcW w:w="1117" w:type="dxa"/>
          </w:tcPr>
          <w:p>
            <w:pPr>
              <w:spacing w:after="0"/>
              <w:rPr>
                <w:rFonts w:ascii="Times New Roman" w:hAnsi="Times New Roman" w:cs="Times New Roman"/>
                <w:noProof/>
                <w:sz w:val="24"/>
                <w:szCs w:val="24"/>
              </w:rPr>
            </w:pPr>
            <w:r>
              <w:rPr>
                <w:rFonts w:ascii="Times New Roman" w:hAnsi="Times New Roman"/>
                <w:noProof/>
                <w:sz w:val="24"/>
              </w:rPr>
              <w:t>DATA:</w:t>
            </w:r>
          </w:p>
        </w:tc>
        <w:tc>
          <w:tcPr>
            <w:tcW w:w="3603" w:type="dxa"/>
          </w:tcPr>
          <w:p>
            <w:pPr>
              <w:rPr>
                <w:rFonts w:ascii="Times New Roman" w:hAnsi="Times New Roman" w:cs="Times New Roman"/>
                <w:noProof/>
                <w:sz w:val="24"/>
                <w:szCs w:val="24"/>
              </w:rPr>
            </w:pPr>
          </w:p>
        </w:tc>
      </w:tr>
      <w:tr>
        <w:trPr>
          <w:cantSplit/>
          <w:trHeight w:val="620"/>
          <w:jc w:val="center"/>
        </w:trPr>
        <w:tc>
          <w:tcPr>
            <w:tcW w:w="1105" w:type="dxa"/>
          </w:tcPr>
          <w:p>
            <w:pPr>
              <w:rPr>
                <w:rFonts w:ascii="Times New Roman" w:hAnsi="Times New Roman" w:cs="Times New Roman"/>
                <w:noProof/>
                <w:sz w:val="24"/>
                <w:szCs w:val="24"/>
              </w:rPr>
            </w:pPr>
            <w:r>
              <w:rPr>
                <w:rFonts w:ascii="Times New Roman" w:hAnsi="Times New Roman"/>
                <w:noProof/>
                <w:sz w:val="24"/>
              </w:rPr>
              <w:t>LOCUL:</w:t>
            </w:r>
          </w:p>
        </w:tc>
        <w:tc>
          <w:tcPr>
            <w:tcW w:w="3653" w:type="dxa"/>
          </w:tcPr>
          <w:p>
            <w:pPr>
              <w:rPr>
                <w:rFonts w:ascii="Times New Roman" w:hAnsi="Times New Roman" w:cs="Times New Roman"/>
                <w:noProof/>
                <w:sz w:val="24"/>
                <w:szCs w:val="24"/>
              </w:rPr>
            </w:pPr>
            <w:r>
              <w:rPr>
                <w:rFonts w:ascii="Times New Roman" w:hAnsi="Times New Roman"/>
                <w:noProof/>
                <w:sz w:val="24"/>
              </w:rPr>
              <w:t>Washington, DC</w:t>
            </w:r>
          </w:p>
        </w:tc>
        <w:tc>
          <w:tcPr>
            <w:tcW w:w="270" w:type="dxa"/>
          </w:tcPr>
          <w:p>
            <w:pPr>
              <w:rPr>
                <w:rFonts w:ascii="Times New Roman" w:hAnsi="Times New Roman" w:cs="Times New Roman"/>
                <w:noProof/>
                <w:sz w:val="24"/>
                <w:szCs w:val="24"/>
              </w:rPr>
            </w:pPr>
          </w:p>
        </w:tc>
        <w:tc>
          <w:tcPr>
            <w:tcW w:w="1117" w:type="dxa"/>
          </w:tcPr>
          <w:p>
            <w:pPr>
              <w:rPr>
                <w:rFonts w:ascii="Times New Roman" w:hAnsi="Times New Roman" w:cs="Times New Roman"/>
                <w:noProof/>
                <w:sz w:val="24"/>
                <w:szCs w:val="24"/>
              </w:rPr>
            </w:pPr>
            <w:r>
              <w:rPr>
                <w:rFonts w:ascii="Times New Roman" w:hAnsi="Times New Roman"/>
                <w:noProof/>
                <w:sz w:val="24"/>
              </w:rPr>
              <w:t>LOCUL:</w:t>
            </w:r>
          </w:p>
        </w:tc>
        <w:tc>
          <w:tcPr>
            <w:tcW w:w="3603" w:type="dxa"/>
          </w:tcPr>
          <w:p>
            <w:pPr>
              <w:rPr>
                <w:rFonts w:ascii="Times New Roman" w:hAnsi="Times New Roman" w:cs="Times New Roman"/>
                <w:noProof/>
                <w:sz w:val="24"/>
                <w:szCs w:val="24"/>
              </w:rPr>
            </w:pPr>
            <w:r>
              <w:rPr>
                <w:rFonts w:ascii="Times New Roman" w:hAnsi="Times New Roman"/>
                <w:noProof/>
                <w:sz w:val="24"/>
              </w:rPr>
              <w:t>Bruxelles, Belgia</w:t>
            </w:r>
          </w:p>
        </w:tc>
      </w:tr>
    </w:tbl>
    <w:p>
      <w:pPr>
        <w:rPr>
          <w:noProof/>
        </w:rPr>
      </w:pPr>
    </w:p>
    <w:p>
      <w:pPr>
        <w:rPr>
          <w:noProof/>
        </w:rPr>
      </w:pPr>
    </w:p>
    <w:p>
      <w:pPr>
        <w:autoSpaceDE w:val="0"/>
        <w:autoSpaceDN w:val="0"/>
        <w:adjustRightInd w:val="0"/>
        <w:spacing w:after="0" w:line="360" w:lineRule="auto"/>
        <w:jc w:val="center"/>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b/>
        <w:sz w:val="48"/>
      </w:rPr>
      <w:t>EN</w:t>
    </w:r>
    <w:r>
      <w:tab/>
    </w:r>
    <w:r>
      <w:tab/>
    </w:r>
    <w:r>
      <w:tab/>
    </w:r>
    <w:r>
      <w:rPr>
        <w:rFonts w:ascii="Arial" w:hAnsi="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C95"/>
    <w:multiLevelType w:val="hybridMultilevel"/>
    <w:tmpl w:val="E0E44B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2A5091D"/>
    <w:multiLevelType w:val="hybridMultilevel"/>
    <w:tmpl w:val="A836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BE"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0"/>
    <w:docVar w:name="LW_CORRIGENDUM" w:val="&lt;UNUSED&gt;"/>
    <w:docVar w:name="LW_COVERPAGE_EXISTS" w:val="True"/>
    <w:docVar w:name="LW_COVERPAGE_GUID" w:val="5F33CBE3-84C3-4480-8B40-999F9FECF77B"/>
    <w:docVar w:name="LW_COVERPAGE_TYPE" w:val="1"/>
    <w:docVar w:name="LW_CROSSREFERENCE" w:val="&lt;UNUSED&gt;"/>
    <w:docVar w:name="LW_DocType" w:val="NORMAL"/>
    <w:docVar w:name="LW_EMISSION" w:val="7.3.2019"/>
    <w:docVar w:name="LW_EMISSION_ISODATE" w:val="2019-03-07"/>
    <w:docVar w:name="LW_EMISSION_LOCATION" w:val="BRX"/>
    <w:docVar w:name="LW_EMISSION_PREFIX" w:val="Bruxelles, "/>
    <w:docVar w:name="LW_EMISSION_SUFFIX" w:val=" "/>
    <w:docVar w:name="LW_ID_DOCTYPE_NONLW" w:val="CP-036"/>
    <w:docVar w:name="LW_LANGUE" w:val="RO"/>
    <w:docVar w:name="LW_LEVEL_OF_SENSITIVITY" w:val="Standard treatment"/>
    <w:docVar w:name="LW_NOM.INST" w:val="COMISIA EUROPEAN\u258?"/>
    <w:docVar w:name="LW_NOM.INST_JOINTDOC" w:val="&lt;EMPTY&gt;"/>
    <w:docVar w:name="LW_OBJETACTEPRINCIPAL.CP" w:val="privind pozi\u539?ia care urmeaz\u259? s\u259? fie adoptat\u259? de Uniunea European\u259? în cadrul Consiliului bilateral de supraveghere, în temeiul Acordului între Statele Unite ale Americii \u537?i Comunitatea European\u259? privind cooperarea în materie de reglementare a siguran\u539?ei avia\u539?iei civile, în ceea ce prive\u537?te ad\u259?ugarea anexei 4 la acord"/>
    <w:docVar w:name="LW_PART_NBR" w:val="1"/>
    <w:docVar w:name="LW_PART_NBR_TOTAL" w:val="1"/>
    <w:docVar w:name="LW_REF.INST.NEW" w:val="COM"/>
    <w:docVar w:name="LW_REF.INST.NEW_ADOPTED" w:val="final"/>
    <w:docVar w:name="LW_REF.INST.NEW_TEXT" w:val="(2019) 1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Propunerea de_x000b_DECIZIE A CONSILIULUI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234</Words>
  <Characters>1412</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Dipasquantonio, Maria (FAA)</dc:creator>
  <cp:lastModifiedBy>WES PDFC Administrator</cp:lastModifiedBy>
  <cp:revision>11</cp:revision>
  <cp:lastPrinted>2018-12-06T11:40:00Z</cp:lastPrinted>
  <dcterms:created xsi:type="dcterms:W3CDTF">2018-12-06T12:00:00Z</dcterms:created>
  <dcterms:modified xsi:type="dcterms:W3CDTF">2019-03-06T15:38:00Z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