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7EAD213E-2ED2-46F9-8C1F-03E4336FC7B3" style="width:451.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BILAG I</w:t>
      </w:r>
    </w:p>
    <w:p>
      <w:pPr>
        <w:pStyle w:val="Header"/>
        <w:jc w:val="center"/>
        <w:rPr>
          <w:b/>
          <w:noProof/>
        </w:rPr>
      </w:pPr>
      <w:r>
        <w:rPr>
          <w:noProof/>
        </w:rPr>
        <w:t>Den holdning, som skal indtages på Den Europæiske Unions vegne i Fiskerikommissionen for det Vestlige og Centrale Stillehav (WCPFC)</w:t>
      </w:r>
    </w:p>
    <w:p>
      <w:pPr>
        <w:pStyle w:val="Heading1"/>
        <w:numPr>
          <w:ilvl w:val="0"/>
          <w:numId w:val="5"/>
        </w:numPr>
        <w:rPr>
          <w:noProof/>
        </w:rPr>
      </w:pPr>
      <w:r>
        <w:rPr>
          <w:noProof/>
        </w:rPr>
        <w:t>PRINCIPPER</w:t>
      </w:r>
    </w:p>
    <w:p>
      <w:pPr>
        <w:rPr>
          <w:noProof/>
        </w:rPr>
      </w:pPr>
      <w:r>
        <w:rPr>
          <w:noProof/>
        </w:rPr>
        <w:t>Inden for rammerne af WCPFC skal Unionen:</w:t>
      </w:r>
    </w:p>
    <w:p>
      <w:pPr>
        <w:pStyle w:val="Point0"/>
        <w:rPr>
          <w:noProof/>
        </w:rPr>
      </w:pPr>
      <w:r>
        <w:rPr>
          <w:noProof/>
        </w:rPr>
        <w:t xml:space="preserve">a) </w:t>
      </w:r>
      <w:r>
        <w:rPr>
          <w:noProof/>
        </w:rPr>
        <w:tab/>
        <w:t>handle i overensstemmelse med de mål og principper, som Unionen sigter mod inden for rammerne af den fælles fiskeripolitik, og som navnlig går ud på ved hjælp af forsigtighedstilgangen og målene vedrørende bæredygtig udnyttelse, jf. artikel 2, stk. 2, i forordning (EU) nr. 1380/2013, at fremme gennemførelsen af en økosystembaseret tilgang til fiskeriforvaltning, undgå og begrænse uønskede fangster mest muligt og gradvis eliminere udsmid, reducere fiskeriets negative indvirkning på det marine økosystem og habitaterne, samt fremme et økonomisk levedygtigt og konkurrencedygtigt EU-fiskeri, hvor de, der er afhængige af fiskeriet, sikres en rimelig levestandard, samtidig med at der tages hensyn til forbrugernes interesser</w:t>
      </w:r>
    </w:p>
    <w:p>
      <w:pPr>
        <w:pStyle w:val="Point0"/>
        <w:rPr>
          <w:noProof/>
        </w:rPr>
      </w:pPr>
      <w:r>
        <w:rPr>
          <w:noProof/>
        </w:rPr>
        <w:t xml:space="preserve">b) </w:t>
      </w:r>
      <w:r>
        <w:rPr>
          <w:noProof/>
        </w:rPr>
        <w:tab/>
        <w:t>arbejde hen imod en passende inddragelse af aktører i forberedelsen af WCPFC-foranstaltninger og sikre, at foranstaltninger vedtaget inden for rammerne af WCPFC er i overensstemmelse med målene for WCPFC-konventionen</w:t>
      </w:r>
    </w:p>
    <w:p>
      <w:pPr>
        <w:pStyle w:val="Point0"/>
        <w:rPr>
          <w:noProof/>
        </w:rPr>
      </w:pPr>
      <w:r>
        <w:rPr>
          <w:noProof/>
        </w:rPr>
        <w:t xml:space="preserve">c) </w:t>
      </w:r>
      <w:r>
        <w:rPr>
          <w:noProof/>
        </w:rPr>
        <w:tab/>
        <w:t>sikre, at de foranstaltninger, der vedtages inden for rammerne af WCPFC, er forenelige med folkeretten, især FN's havretskonvention af 1982, FN-aftalen af 1995 om bevarelse og forvaltning af fælles fiskebestande og stærkt vandrende fiskebestande, aftalen af 1993 om fremme af fiskerfartøjers overholdelse af internationale bevarelses- og forvaltningsforanstaltninger på åbent hav og Fødevare- og Landbrugsorganisationens aftale af 2009 om havnestatsforanstaltninger</w:t>
      </w:r>
    </w:p>
    <w:p>
      <w:pPr>
        <w:pStyle w:val="Point0"/>
        <w:rPr>
          <w:noProof/>
        </w:rPr>
      </w:pPr>
      <w:r>
        <w:rPr>
          <w:noProof/>
        </w:rPr>
        <w:t xml:space="preserve">d) </w:t>
      </w:r>
      <w:r>
        <w:rPr>
          <w:noProof/>
        </w:rPr>
        <w:tab/>
        <w:t>fremme holdninger, der er i overensstemmelse med bedste praksis som anvendt af de regionale fiskeriforvaltningsorganisationer (RFFO'er) i samme område</w:t>
      </w:r>
    </w:p>
    <w:p>
      <w:pPr>
        <w:pStyle w:val="Point0"/>
        <w:rPr>
          <w:noProof/>
          <w:szCs w:val="24"/>
        </w:rPr>
      </w:pPr>
      <w:r>
        <w:rPr>
          <w:noProof/>
        </w:rPr>
        <w:t xml:space="preserve">e) </w:t>
      </w:r>
      <w:r>
        <w:rPr>
          <w:noProof/>
        </w:rPr>
        <w:tab/>
        <w:t>søge sammenhæng og synergi med den politik, som Unionen følger som led i sine bilaterale fiskeriforbindelser med tredjelande, og sikre sammenhæng med sine øvrige politikker, navnlig på områderne eksterne forbindelser, beskæftigelse, miljø, handel, udvikling, forskning og innovation</w:t>
      </w:r>
    </w:p>
    <w:p>
      <w:pPr>
        <w:pStyle w:val="Point0"/>
        <w:rPr>
          <w:noProof/>
          <w:szCs w:val="24"/>
        </w:rPr>
      </w:pPr>
      <w:r>
        <w:rPr>
          <w:noProof/>
        </w:rPr>
        <w:t>f)</w:t>
      </w:r>
      <w:r>
        <w:rPr>
          <w:noProof/>
        </w:rPr>
        <w:tab/>
        <w:t>sikre, at Unionens internationale forpligtelser overholdes</w:t>
      </w:r>
    </w:p>
    <w:p>
      <w:pPr>
        <w:pStyle w:val="Point0"/>
        <w:rPr>
          <w:noProof/>
          <w:szCs w:val="24"/>
        </w:rPr>
      </w:pPr>
      <w:r>
        <w:rPr>
          <w:noProof/>
        </w:rPr>
        <w:t xml:space="preserve">g) </w:t>
      </w:r>
      <w:r>
        <w:rPr>
          <w:noProof/>
        </w:rPr>
        <w:tab/>
        <w:t>følge Rådets konklusioner af 19. marts 2012 om Kommissionens meddelelse om den fælles fiskeripolitiks eksterne dimension</w:t>
      </w:r>
      <w:r>
        <w:rPr>
          <w:rStyle w:val="FootnoteReference"/>
          <w:noProof/>
        </w:rPr>
        <w:footnoteReference w:id="1"/>
      </w:r>
    </w:p>
    <w:p>
      <w:pPr>
        <w:pStyle w:val="Point0"/>
        <w:rPr>
          <w:noProof/>
          <w:szCs w:val="24"/>
        </w:rPr>
      </w:pPr>
      <w:r>
        <w:rPr>
          <w:noProof/>
        </w:rPr>
        <w:t xml:space="preserve">h) </w:t>
      </w:r>
      <w:r>
        <w:rPr>
          <w:noProof/>
        </w:rPr>
        <w:tab/>
        <w:t>sigte mod at skabe lige vilkår for EU-fiskerflåden inden for konventionsområdet på grundlag af de samme principper og standarder som dem, der gælder i henhold til EU-lovgivningen, og mod at fremme en ensartet gennemførelse af disse principper og standarder</w:t>
      </w:r>
    </w:p>
    <w:p>
      <w:pPr>
        <w:pStyle w:val="Point0"/>
        <w:rPr>
          <w:noProof/>
          <w:szCs w:val="24"/>
        </w:rPr>
      </w:pPr>
      <w:r>
        <w:rPr>
          <w:noProof/>
        </w:rPr>
        <w:t xml:space="preserve">i) </w:t>
      </w:r>
      <w:r>
        <w:rPr>
          <w:noProof/>
        </w:rPr>
        <w:tab/>
        <w:t xml:space="preserve">sikre overensstemmelse med målsætningerne i den fælles meddelelse fra Unionens højtstående repræsentant for udenrigsanliggender og sikkerhedspolitik og Europa-Kommissionen om </w:t>
      </w:r>
      <w:r>
        <w:rPr>
          <w:i/>
          <w:noProof/>
        </w:rPr>
        <w:t>international havforvaltning: en dagsorden for havenes fremtid</w:t>
      </w:r>
      <w:r>
        <w:rPr>
          <w:rStyle w:val="FootnoteReference"/>
          <w:noProof/>
        </w:rPr>
        <w:footnoteReference w:id="2"/>
      </w:r>
      <w:r>
        <w:rPr>
          <w:noProof/>
        </w:rPr>
        <w:t xml:space="preserve"> og med Rådets konklusioner om denne fælles meddelelse</w:t>
      </w:r>
      <w:r>
        <w:rPr>
          <w:rStyle w:val="FootnoteReference"/>
          <w:noProof/>
        </w:rPr>
        <w:footnoteReference w:id="3"/>
      </w:r>
      <w:r>
        <w:rPr>
          <w:noProof/>
        </w:rPr>
        <w:t>, og fremme foranstaltninger til støtte og forbedring af WCPFC og, hvor det er relevant, forbedre WCPFC's forvaltning og resultater (navnlig med hensyn til videnskab, overholdelse, gennemsigtighed og beslutningstagning) med henblik på at bidrage til alle de forskellige dimensioner af bæredygtig havforvaltning</w:t>
      </w:r>
    </w:p>
    <w:p>
      <w:pPr>
        <w:pStyle w:val="Point0"/>
        <w:rPr>
          <w:noProof/>
          <w:szCs w:val="24"/>
        </w:rPr>
      </w:pPr>
      <w:r>
        <w:rPr>
          <w:noProof/>
        </w:rPr>
        <w:t xml:space="preserve">j) </w:t>
      </w:r>
      <w:r>
        <w:rPr>
          <w:noProof/>
        </w:rPr>
        <w:tab/>
        <w:t>fremme koordineringen mellem RFFO'erne og de regionale havkonventioner og samarbejdet med globale organisationer, alt efter hvad der er relevant, inden for deres respektive mandat</w:t>
      </w:r>
    </w:p>
    <w:p>
      <w:pPr>
        <w:pStyle w:val="Point0"/>
        <w:rPr>
          <w:noProof/>
          <w:szCs w:val="24"/>
        </w:rPr>
      </w:pPr>
      <w:r>
        <w:rPr>
          <w:noProof/>
        </w:rPr>
        <w:t xml:space="preserve">k) </w:t>
      </w:r>
      <w:r>
        <w:rPr>
          <w:noProof/>
        </w:rPr>
        <w:tab/>
        <w:t>i givet fald fremme fælles strategier for RFFO'erne, navnlig dem, der deltager i fiskeriforvaltningen i det samme område</w:t>
      </w:r>
    </w:p>
    <w:p>
      <w:pPr>
        <w:pStyle w:val="Point0"/>
        <w:rPr>
          <w:noProof/>
          <w:szCs w:val="24"/>
        </w:rPr>
      </w:pPr>
      <w:r>
        <w:rPr>
          <w:noProof/>
        </w:rPr>
        <w:t>l)</w:t>
      </w:r>
      <w:r>
        <w:rPr>
          <w:noProof/>
        </w:rPr>
        <w:tab/>
        <w:t>fremme koordinering og samarbejde med andre RFFO'er med ansvar for tun vedrørende spørgsmål af fælles interesse, navnlig ved at genoptage den såkaldte Kobeprocedure for RFFO'er med ansvar for tun og udvidelse heraf til alle RFFO'er.</w:t>
      </w:r>
    </w:p>
    <w:p>
      <w:pPr>
        <w:pStyle w:val="Heading1"/>
        <w:rPr>
          <w:noProof/>
        </w:rPr>
      </w:pPr>
      <w:r>
        <w:rPr>
          <w:noProof/>
        </w:rPr>
        <w:t>Retningslinjer</w:t>
      </w:r>
    </w:p>
    <w:p>
      <w:pPr>
        <w:autoSpaceDE w:val="0"/>
        <w:autoSpaceDN w:val="0"/>
        <w:adjustRightInd w:val="0"/>
        <w:spacing w:before="0" w:after="0"/>
        <w:rPr>
          <w:noProof/>
        </w:rPr>
      </w:pPr>
      <w:r>
        <w:rPr>
          <w:noProof/>
        </w:rPr>
        <w:t>Unionen skal i relevant omfang stræbe efter at støtte vedtagelsen af følgende tiltag inden for rammerne af WCPFC:</w:t>
      </w:r>
    </w:p>
    <w:p>
      <w:pPr>
        <w:pStyle w:val="Point0"/>
        <w:rPr>
          <w:noProof/>
        </w:rPr>
      </w:pPr>
      <w:r>
        <w:rPr>
          <w:noProof/>
        </w:rPr>
        <w:t xml:space="preserve">a) </w:t>
      </w:r>
      <w:r>
        <w:rPr>
          <w:noProof/>
        </w:rPr>
        <w:tab/>
        <w:t>foranstaltninger til bevarelse og forvaltning af fiskeressourcerne i WCPFC-konventionsområdet baseret på den bedste foreliggende videnskabelige rådgivning, herunder samlede tilladte fangstmængder (TAC'er) og kvoter, fiskeriindsats- eller fiskerikapacitetsforanstaltninger for havets levende biologiske ressourcer reguleret af WCPFC, som senest inden udgangen af 2020 resulterer i et fiskeri eller opretholder fiskeriet på et niveau, der giver det maksimale bæredygtige udbytte. Om nødvendigt skal disse bevarelses- og forvaltningsforanstaltninger omfatte særlige foranstaltninger for bestande, der lider under overfiskning, i overensstemmelse med fiskerimulighederne</w:t>
      </w:r>
    </w:p>
    <w:p>
      <w:pPr>
        <w:pStyle w:val="Point0"/>
        <w:rPr>
          <w:noProof/>
        </w:rPr>
      </w:pPr>
      <w:r>
        <w:rPr>
          <w:noProof/>
        </w:rPr>
        <w:t xml:space="preserve">b) </w:t>
      </w:r>
      <w:r>
        <w:rPr>
          <w:noProof/>
        </w:rPr>
        <w:tab/>
        <w:t xml:space="preserve">foranstaltninger, der skal forebygge, afværge eller standse </w:t>
      </w:r>
      <w:r>
        <w:rPr>
          <w:noProof/>
          <w:sz w:val="23"/>
        </w:rPr>
        <w:t>ulovligt, urapporteret og ureguleret</w:t>
      </w:r>
      <w:r>
        <w:rPr>
          <w:noProof/>
        </w:rPr>
        <w:t xml:space="preserve"> fiskeri (IUU-fiskeri) i konventionsområdet, herunder opførelse af fartøjer på IUU-lister</w:t>
      </w:r>
    </w:p>
    <w:p>
      <w:pPr>
        <w:pStyle w:val="Point0"/>
        <w:rPr>
          <w:noProof/>
        </w:rPr>
      </w:pPr>
      <w:r>
        <w:rPr>
          <w:noProof/>
        </w:rPr>
        <w:t xml:space="preserve">c) </w:t>
      </w:r>
      <w:r>
        <w:rPr>
          <w:noProof/>
        </w:rPr>
        <w:tab/>
        <w:t>foranstaltninger til overvågning, kontrol og tilsyn i WCPFC-konventionsområdet for at sikre en effektiv kontrol og overholdelse af foranstaltninger vedtaget inden for rammerne af WCPFC</w:t>
      </w:r>
    </w:p>
    <w:p>
      <w:pPr>
        <w:pStyle w:val="Point0"/>
        <w:rPr>
          <w:noProof/>
        </w:rPr>
      </w:pPr>
      <w:r>
        <w:rPr>
          <w:noProof/>
        </w:rPr>
        <w:t xml:space="preserve">d) </w:t>
      </w:r>
      <w:r>
        <w:rPr>
          <w:noProof/>
        </w:rPr>
        <w:tab/>
        <w:t>foranstaltninger, der skal reducere fiskeriets negative indvirkning på havets biodiversitet og det marine økosystem mest muligt, herunder foranstaltninger til at reducere havforurening og forebygge udtømning af plast til havs og mindske indvirkningen af plast i havene på den marine biodiversitet og de marine økosystemer, foranstaltninger til at beskytte sårbare marine økosystemer i WCPFC-konventionsområdet i tråd med konventionen, samt foranstaltninger, der tager sigte på at undgå og i videst muligt omfang reducere uønskede fangster, særligt af sårbare marine arter, og på gradvis at eliminere udsmid</w:t>
      </w:r>
    </w:p>
    <w:p>
      <w:pPr>
        <w:pStyle w:val="Point0"/>
        <w:rPr>
          <w:noProof/>
        </w:rPr>
      </w:pPr>
      <w:r>
        <w:rPr>
          <w:noProof/>
        </w:rPr>
        <w:t>e)</w:t>
      </w:r>
      <w:r>
        <w:rPr>
          <w:noProof/>
        </w:rPr>
        <w:tab/>
        <w:t>foranstaltninger til at forvalte anvendelsen af anordninger til tiltrækning af fisk (FAD), navnlig for at forbedre indsamlingen af data med henblik på nøjagtigt at kvantificere, spore og føre tilsyn med anvendelsen af FAD'er, reducere indvirkningen på sårbare tunbestande, afhjælpe de potentielle virkninger af FAD'er på målarter og ikke-målarter samt på økosystemet og reducere bidraget til havaffald</w:t>
      </w:r>
    </w:p>
    <w:p>
      <w:pPr>
        <w:pStyle w:val="Point0"/>
        <w:rPr>
          <w:noProof/>
        </w:rPr>
      </w:pPr>
      <w:r>
        <w:rPr>
          <w:noProof/>
        </w:rPr>
        <w:t>f)</w:t>
      </w:r>
      <w:r>
        <w:rPr>
          <w:noProof/>
        </w:rPr>
        <w:tab/>
        <w:t>foranstaltninger til at mindske virkningen af efterladte, tabte eller på anden måde kasserede fiskeredskaber (ALDFG) i havet og til at lette identificering og bjærgning af sådanne redskaber</w:t>
      </w:r>
    </w:p>
    <w:p>
      <w:pPr>
        <w:pStyle w:val="Point0"/>
        <w:rPr>
          <w:noProof/>
        </w:rPr>
      </w:pPr>
      <w:r>
        <w:rPr>
          <w:noProof/>
        </w:rPr>
        <w:t xml:space="preserve">g) </w:t>
      </w:r>
      <w:r>
        <w:rPr>
          <w:noProof/>
        </w:rPr>
        <w:tab/>
        <w:t>foranstaltninger, der tager sigte på at forbyde fiskeri, som kun har til formål at høste hajfinner, og hvorved det kræves, at alle hajer landes med finnerne på</w:t>
      </w:r>
    </w:p>
    <w:p>
      <w:pPr>
        <w:pStyle w:val="Point0"/>
        <w:rPr>
          <w:noProof/>
        </w:rPr>
      </w:pPr>
      <w:r>
        <w:rPr>
          <w:noProof/>
        </w:rPr>
        <w:t xml:space="preserve">h) </w:t>
      </w:r>
      <w:r>
        <w:rPr>
          <w:noProof/>
        </w:rPr>
        <w:tab/>
        <w:t>henstillinger, der tilskynder til gennemførelsen af Den Internationale Arbejdsorganisations (ILO) konvention om arbejdsforhold i fiskerisektoren, hvor det er relevant og i det omfang, det er tilladt efter de relevante stiftelsesdokumenter</w:t>
      </w:r>
    </w:p>
    <w:p>
      <w:pPr>
        <w:pStyle w:val="Point0"/>
        <w:rPr>
          <w:noProof/>
        </w:rPr>
      </w:pPr>
      <w:r>
        <w:rPr>
          <w:noProof/>
        </w:rPr>
        <w:t xml:space="preserve">i) </w:t>
      </w:r>
      <w:r>
        <w:rPr>
          <w:noProof/>
        </w:rPr>
        <w:tab/>
        <w:t xml:space="preserve">supplerende tekniske foranstaltninger baseret på rådgivning fra WCPFC's underorganer og arbejdsgrupper. </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BILAG II</w:t>
      </w:r>
    </w:p>
    <w:p>
      <w:pPr>
        <w:jc w:val="center"/>
        <w:rPr>
          <w:rFonts w:eastAsia="Calibri"/>
          <w:b/>
          <w:noProof/>
          <w:szCs w:val="20"/>
          <w:u w:val="single"/>
        </w:rPr>
      </w:pPr>
      <w:r>
        <w:rPr>
          <w:b/>
          <w:noProof/>
          <w:u w:val="single"/>
        </w:rPr>
        <w:t>Præcisering fra år til år af den holdning, som Unionen skal indtage</w:t>
      </w:r>
    </w:p>
    <w:p>
      <w:pPr>
        <w:jc w:val="center"/>
        <w:rPr>
          <w:rFonts w:eastAsia="Calibri"/>
          <w:b/>
          <w:i/>
          <w:strike/>
          <w:noProof/>
          <w:szCs w:val="20"/>
          <w:u w:val="single"/>
        </w:rPr>
      </w:pPr>
      <w:r>
        <w:rPr>
          <w:b/>
          <w:noProof/>
          <w:u w:val="single"/>
        </w:rPr>
        <w:t xml:space="preserve">på møderne i Fiskerikommissionen for det Vestlige og Centrale Stillehav </w:t>
      </w:r>
    </w:p>
    <w:p>
      <w:pPr>
        <w:rPr>
          <w:rFonts w:eastAsia="Calibri"/>
          <w:noProof/>
          <w:szCs w:val="20"/>
        </w:rPr>
      </w:pPr>
      <w:r>
        <w:rPr>
          <w:noProof/>
        </w:rPr>
        <w:t>Forud for hvert møde i WCPFC, når dette organ skal vedtage afgørelser, der har retsvirkninger for Unionen, træffes de nødvendige foranstaltninger til at sikre, at den holdning, der skal indtages på Unionens vegne, tager hensyn til de seneste videnskabelige og andre relevante oplysninger, der er fremsendt til Europa-Kommissionen, i overensstemmelse med principperne og retningslinjerne i bilag I.</w:t>
      </w:r>
    </w:p>
    <w:p>
      <w:pPr>
        <w:rPr>
          <w:rFonts w:eastAsia="Calibri"/>
          <w:noProof/>
          <w:szCs w:val="20"/>
        </w:rPr>
      </w:pPr>
      <w:r>
        <w:rPr>
          <w:noProof/>
        </w:rPr>
        <w:t>Med henblik herpå og på baggrund af de fremsendte oplysninger forelægger Europa-Kommissionen i tilstrækkelig god tid inden hvert møde i WCPFC et skriftligt dokument for Rådet eller dets forberedende organer, hvori er fastlagt enkelthederne i den foreslåede præcisering af Unionens holdning med henblik på drøftelse og godkendelse af detaljerne i den holdning, som Unionen skal give udtryk for.</w:t>
      </w:r>
    </w:p>
    <w:p>
      <w:pPr>
        <w:rPr>
          <w:rFonts w:eastAsia="Calibri"/>
          <w:noProof/>
          <w:szCs w:val="20"/>
        </w:rPr>
      </w:pPr>
      <w:r>
        <w:rPr>
          <w:noProof/>
        </w:rPr>
        <w:t>Hvis det i løbet af et møde i WPCFP, herunder på stedet, er umuligt at nå til enighed, således at Unionens holdning tager hensyn til nye elementer, henvises sagen til Rådet eller dets forberedende organer.</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rPr>
          <w:lang w:val="en-GB"/>
        </w:rPr>
        <w:tab/>
        <w:t xml:space="preserve">7087/12 REV 1 ADD 1 COR 1. </w:t>
      </w:r>
    </w:p>
  </w:footnote>
  <w:footnote w:id="2">
    <w:p>
      <w:pPr>
        <w:pStyle w:val="FootnoteText"/>
        <w:rPr>
          <w:lang w:val="en-GB"/>
        </w:rPr>
      </w:pPr>
      <w:r>
        <w:rPr>
          <w:rStyle w:val="FootnoteReference"/>
        </w:rPr>
        <w:footnoteRef/>
      </w:r>
      <w:r>
        <w:rPr>
          <w:lang w:val="en-GB"/>
        </w:rPr>
        <w:tab/>
        <w:t>JOIN(2016) 49 final af 10.11.2016.</w:t>
      </w:r>
    </w:p>
  </w:footnote>
  <w:footnote w:id="3">
    <w:p>
      <w:pPr>
        <w:pStyle w:val="FootnoteText"/>
        <w:rPr>
          <w:lang w:val="en-US"/>
        </w:rPr>
      </w:pPr>
      <w:r>
        <w:rPr>
          <w:rStyle w:val="FootnoteReference"/>
        </w:rPr>
        <w:footnoteRef/>
      </w:r>
      <w:r>
        <w:tab/>
        <w:t>7348/1/17 REV 1 af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E1E7A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8F4A91E"/>
    <w:lvl w:ilvl="0">
      <w:start w:val="1"/>
      <w:numFmt w:val="decimal"/>
      <w:pStyle w:val="ListNumber3"/>
      <w:lvlText w:val="%1."/>
      <w:lvlJc w:val="left"/>
      <w:pPr>
        <w:tabs>
          <w:tab w:val="num" w:pos="926"/>
        </w:tabs>
        <w:ind w:left="926" w:hanging="360"/>
      </w:pPr>
    </w:lvl>
  </w:abstractNum>
  <w:abstractNum w:abstractNumId="2">
    <w:nsid w:val="FFFFFF7F"/>
    <w:multiLevelType w:val="singleLevel"/>
    <w:tmpl w:val="29C0191C"/>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0E4A206"/>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07:38:4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ACCOMPAGNANT" w:val="til"/>
    <w:docVar w:name="LW_ACCOMPAGNANT.CP" w:val="til"/>
    <w:docVar w:name="LW_ANNEX_NBR_FIRST" w:val="1"/>
    <w:docVar w:name="LW_ANNEX_NBR_LAST" w:val="2"/>
    <w:docVar w:name="LW_ANNEX_UNIQUE" w:val="0"/>
    <w:docVar w:name="LW_CORRIGENDUM" w:val="&lt;UNUSED&gt;"/>
    <w:docVar w:name="LW_COVERPAGE_EXISTS" w:val="True"/>
    <w:docVar w:name="LW_COVERPAGE_GUID" w:val="7EAD213E-2ED2-46F9-8C1F-03E4336FC7B3"/>
    <w:docVar w:name="LW_COVERPAGE_TYPE" w:val="1"/>
    <w:docVar w:name="LW_CROSSREFERENCE" w:val="&lt;UNUSED&gt;"/>
    <w:docVar w:name="LW_DocType" w:val="ANNEX"/>
    <w:docVar w:name="LW_EMISSION" w:val="7.3.2019"/>
    <w:docVar w:name="LW_EMISSION_ISODATE" w:val="2019-03-07"/>
    <w:docVar w:name="LW_EMISSION_LOCATION" w:val="BRX"/>
    <w:docVar w:name="LW_EMISSION_PREFIX" w:val="Bruxelles, den "/>
    <w:docVar w:name="LW_EMISSION_SUFFIX" w:val="&lt;EMPTY&gt;"/>
    <w:docVar w:name="LW_ID_DOCSTRUCTURE" w:val="COM/ANNEX"/>
    <w:docVar w:name="LW_ID_DOCTYPE" w:val="SG-017"/>
    <w:docVar w:name="LW_LANGUE" w:val="DA"/>
    <w:docVar w:name="LW_LEVEL_OF_SENSITIVITY" w:val="Standard treatment"/>
    <w:docVar w:name="LW_NOM.INST" w:val="EUROPA-KOMMISSIONEN"/>
    <w:docVar w:name="LW_NOM.INST_JOINTDOC" w:val="&lt;EMPTY&gt;"/>
    <w:docVar w:name="LW_OBJETACTEPRINCIPAL" w:val="om den holdning, der skal indtages på Den Europæiske Unions vegne i Fiskerikommissionen for det Vestlige og Centrale Stillehav, og om ophævelse af afgørelse 10124/1/14 REV 1_x000b_"/>
    <w:docVar w:name="LW_OBJETACTEPRINCIPAL.CP" w:val="om den holdning, der skal indtages på Den Europæiske Unions vegne i Fiskerikommissionen for det Vestlige og Centrale Stillehav, og om ophævelse af afgørelse 10124/1/14 REV 1_x000b_"/>
    <w:docVar w:name="LW_PART_NBR" w:val="&lt;UNUSED&gt;"/>
    <w:docVar w:name="LW_PART_NBR_TOTAL" w:val="&lt;UNUSED&gt;"/>
    <w:docVar w:name="LW_REF.INST.NEW" w:val="COM"/>
    <w:docVar w:name="LW_REF.INST.NEW_ADOPTED" w:val="final"/>
    <w:docVar w:name="LW_REF.INST.NEW_TEXT" w:val="(2019) 1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LAG"/>
    <w:docVar w:name="LW_TYPE.DOC.CP" w:val="BILAG"/>
    <w:docVar w:name="LW_TYPEACTEPRINCIPAL" w:val="Forslag til Rådets afgørelse_x000b_"/>
    <w:docVar w:name="LW_TYPEACTEPRINCIPAL.CP" w:val="Forslag til Rådets afgørelse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5</Pages>
  <Words>1064</Words>
  <Characters>6652</Characters>
  <Application>Microsoft Office Word</Application>
  <DocSecurity>0</DocSecurity>
  <Lines>112</Lines>
  <Paragraphs>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MOLLEDO Luis (MARE)</dc:creator>
  <cp:lastModifiedBy>WES PDFC Administrator</cp:lastModifiedBy>
  <cp:revision>8</cp:revision>
  <cp:lastPrinted>2019-01-03T13:25:00Z</cp:lastPrinted>
  <dcterms:created xsi:type="dcterms:W3CDTF">2019-02-27T13:37:00Z</dcterms:created>
  <dcterms:modified xsi:type="dcterms:W3CDTF">2019-03-06T06:38:00Z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