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BEB8AB1-A817-45DC-9CAE-E678DC70DF4E" style="width:450.75pt;height:410.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ALLEGATO I</w:t>
      </w:r>
    </w:p>
    <w:p>
      <w:pPr>
        <w:pStyle w:val="Header"/>
        <w:jc w:val="center"/>
        <w:rPr>
          <w:b/>
          <w:noProof/>
        </w:rPr>
      </w:pPr>
      <w:r>
        <w:rPr>
          <w:noProof/>
        </w:rPr>
        <w:t>Posizione da adottare a nome dell'Unione nell'ambito della Commissione per la pesca nel Pacifico centro-occidentale (WCPFC)</w:t>
      </w:r>
    </w:p>
    <w:p>
      <w:pPr>
        <w:pStyle w:val="Heading1"/>
        <w:numPr>
          <w:ilvl w:val="0"/>
          <w:numId w:val="5"/>
        </w:numPr>
        <w:rPr>
          <w:noProof/>
        </w:rPr>
      </w:pPr>
      <w:r>
        <w:rPr>
          <w:noProof/>
        </w:rPr>
        <w:t>PRINCIPI</w:t>
      </w:r>
    </w:p>
    <w:p>
      <w:pPr>
        <w:rPr>
          <w:noProof/>
        </w:rPr>
      </w:pPr>
      <w:r>
        <w:rPr>
          <w:noProof/>
        </w:rPr>
        <w:t>Nell’ambito della WCPFC, l’Unione:</w:t>
      </w:r>
    </w:p>
    <w:p>
      <w:pPr>
        <w:pStyle w:val="Point0"/>
        <w:rPr>
          <w:noProof/>
        </w:rPr>
      </w:pPr>
      <w:r>
        <w:rPr>
          <w:noProof/>
        </w:rPr>
        <w:t xml:space="preserve">a) </w:t>
      </w:r>
      <w:r>
        <w:rPr>
          <w:noProof/>
        </w:rPr>
        <w:tab/>
        <w:t>agisce in conformità agli obiettivi e ai principi perseguiti dall’Unione nell’ambito della politica comune della pesca (PCP), in particolare attraverso l’approccio precauzionale, e agli obiettivi connessi al rendimento massimo sostenibile di cui all'articolo 2, paragrafo 2, del regolamento (UE) n. 1380/2013, per promuovere l’attuazione di un approccio alla gestione della pesca basato sugli ecosistemi, evitare e ridurre quanto più possibile le catture indesiderate, eliminare progressivamente i rigetti in mare e ridurre al minimo l’impatto delle attività di pesca sugli ecosistemi marini e i loro habitat, nonché per garantire, attraverso la promozione di un settore unionale della pesca economicamente sostenibile e competitivo, un equo tenore di vita a quanti dipendono dalle attività di pesca, nel rispetto degli interessi dei consumatori;</w:t>
      </w:r>
    </w:p>
    <w:p>
      <w:pPr>
        <w:pStyle w:val="Point0"/>
        <w:rPr>
          <w:noProof/>
        </w:rPr>
      </w:pPr>
      <w:r>
        <w:rPr>
          <w:noProof/>
        </w:rPr>
        <w:t xml:space="preserve">b) </w:t>
      </w:r>
      <w:r>
        <w:rPr>
          <w:noProof/>
        </w:rPr>
        <w:tab/>
        <w:t>si adopera per un coinvolgimento adeguato dei portatori di interessi nella fase di preparazione delle misure della WCPFC e garantisce che le misure adottate nell’ambito della WCPFC siano conformi alla convenzione WCPF;</w:t>
      </w:r>
    </w:p>
    <w:p>
      <w:pPr>
        <w:pStyle w:val="Point0"/>
        <w:rPr>
          <w:noProof/>
        </w:rPr>
      </w:pPr>
      <w:r>
        <w:rPr>
          <w:noProof/>
        </w:rPr>
        <w:t xml:space="preserve">c) </w:t>
      </w:r>
      <w:r>
        <w:rPr>
          <w:noProof/>
        </w:rPr>
        <w:tab/>
        <w:t>garantisce che le misure adottate nell'ambito della WCPFC siano conformi al diritto internazionale e segnatamente alle disposizioni della Convenzione delle Nazioni Unite sul diritto del mare del 1982, dell’accordo delle Nazioni Unite relativo alla conservazione e alla gestione degli stock ittici transzonali e degli stock ittici altamente migratori del 1995 e dell’accordo inteso a favorire il rispetto delle misure internazionali di conservazione e di gestione da parte dei pescherecci in alto mare del 1993; e dell'accordo FAO del 2009 sulle misure di competenza dello Stato di approdo;</w:t>
      </w:r>
    </w:p>
    <w:p>
      <w:pPr>
        <w:pStyle w:val="Point0"/>
        <w:rPr>
          <w:noProof/>
        </w:rPr>
      </w:pPr>
      <w:r>
        <w:rPr>
          <w:noProof/>
        </w:rPr>
        <w:t xml:space="preserve">d) </w:t>
      </w:r>
      <w:r>
        <w:rPr>
          <w:noProof/>
        </w:rPr>
        <w:tab/>
        <w:t>promuove posizioni coerenti con le migliori pratiche delle organizzazioni regionali di gestione (ORGP) della pesca nella stessa regione;</w:t>
      </w:r>
    </w:p>
    <w:p>
      <w:pPr>
        <w:pStyle w:val="Point0"/>
        <w:rPr>
          <w:noProof/>
          <w:szCs w:val="24"/>
        </w:rPr>
      </w:pPr>
      <w:r>
        <w:rPr>
          <w:noProof/>
        </w:rPr>
        <w:t xml:space="preserve">e) </w:t>
      </w:r>
      <w:r>
        <w:rPr>
          <w:noProof/>
        </w:rPr>
        <w:tab/>
        <w:t>persegue coerenza e sinergia con le politiche condotte dall'Unione nel quadro delle sue relazioni bilaterali in materia di pesca con i paesi terzi e garantisce la coerenza con altre politiche, in particolare nell'ambito delle relazioni esterne, dell'occupazione, dell'ambiente, degli scambi commerciali, dello sviluppo, della ricerca e dell'innovazione;</w:t>
      </w:r>
    </w:p>
    <w:p>
      <w:pPr>
        <w:pStyle w:val="Point0"/>
        <w:rPr>
          <w:noProof/>
          <w:szCs w:val="24"/>
        </w:rPr>
      </w:pPr>
      <w:r>
        <w:rPr>
          <w:noProof/>
        </w:rPr>
        <w:t>f)</w:t>
      </w:r>
      <w:r>
        <w:rPr>
          <w:noProof/>
        </w:rPr>
        <w:tab/>
        <w:t>garantisce il rispetto degli impegni assunti dall'Unione a livello internazionale;</w:t>
      </w:r>
    </w:p>
    <w:p>
      <w:pPr>
        <w:pStyle w:val="Point0"/>
        <w:rPr>
          <w:noProof/>
          <w:szCs w:val="24"/>
        </w:rPr>
      </w:pPr>
      <w:r>
        <w:rPr>
          <w:noProof/>
        </w:rPr>
        <w:t xml:space="preserve">g) </w:t>
      </w:r>
      <w:r>
        <w:rPr>
          <w:noProof/>
        </w:rPr>
        <w:tab/>
        <w:t>si conforma alle conclusioni del Consiglio del 19 marzo 2012 relative alla comunicazione della Commissione sulla dimensione esterna della politica comune della pesca</w:t>
      </w:r>
      <w:r>
        <w:rPr>
          <w:rStyle w:val="FootnoteReference"/>
          <w:noProof/>
        </w:rPr>
        <w:footnoteReference w:id="1"/>
      </w:r>
      <w:r>
        <w:rPr>
          <w:noProof/>
        </w:rPr>
        <w:t>;</w:t>
      </w:r>
    </w:p>
    <w:p>
      <w:pPr>
        <w:pStyle w:val="Point0"/>
        <w:rPr>
          <w:noProof/>
          <w:szCs w:val="24"/>
        </w:rPr>
      </w:pPr>
      <w:r>
        <w:rPr>
          <w:noProof/>
        </w:rPr>
        <w:t xml:space="preserve">h) </w:t>
      </w:r>
      <w:r>
        <w:rPr>
          <w:noProof/>
        </w:rPr>
        <w:tab/>
        <w:t>mira a creare condizioni di parità per la flotta dell’Unione nella zona della convenzione, sulla base degli stessi principi e delle stesse norme applicabili ai sensi del diritto dell’Unione, nonché a promuovere l’attuazione uniforme di tali principi e norme;</w:t>
      </w:r>
    </w:p>
    <w:p>
      <w:pPr>
        <w:pStyle w:val="Point0"/>
        <w:rPr>
          <w:noProof/>
          <w:szCs w:val="24"/>
        </w:rPr>
      </w:pPr>
      <w:r>
        <w:rPr>
          <w:noProof/>
        </w:rPr>
        <w:lastRenderedPageBreak/>
        <w:t xml:space="preserve">i) </w:t>
      </w:r>
      <w:r>
        <w:rPr>
          <w:noProof/>
        </w:rPr>
        <w:tab/>
        <w:t xml:space="preserve">agisce conformemente alla comunicazione congiunta dell'Alta rappresentante dell'Unione per gli affari esteri e la politica di sicurezza e della Commissione - </w:t>
      </w:r>
      <w:r>
        <w:rPr>
          <w:i/>
          <w:noProof/>
        </w:rPr>
        <w:t>Governance internazionale degli oceani: un'agenda per il futuro dei nostri oceani</w:t>
      </w:r>
      <w:r>
        <w:rPr>
          <w:rStyle w:val="FootnoteReference"/>
          <w:noProof/>
        </w:rPr>
        <w:footnoteReference w:id="2"/>
      </w:r>
      <w:r>
        <w:rPr>
          <w:noProof/>
        </w:rPr>
        <w:t xml:space="preserve"> e alle conclusioni del Consiglio relative a tale comunicazione</w:t>
      </w:r>
      <w:r>
        <w:rPr>
          <w:rStyle w:val="FootnoteReference"/>
          <w:noProof/>
        </w:rPr>
        <w:footnoteReference w:id="3"/>
      </w:r>
      <w:r>
        <w:rPr>
          <w:noProof/>
        </w:rPr>
        <w:t xml:space="preserve"> e promuove misure volte a sostenere e aumentare l’efficacia della WCPFC e, ove necessario, migliorarne la governance e l'efficacia (in particolare per quanto riguarda la scienza, la conformità, la trasparenza e il processo decisionale), come contributo alla gestione sostenibile degli oceani in tutte le loro dimensioni;</w:t>
      </w:r>
    </w:p>
    <w:p>
      <w:pPr>
        <w:pStyle w:val="Point0"/>
        <w:rPr>
          <w:noProof/>
          <w:szCs w:val="24"/>
        </w:rPr>
      </w:pPr>
      <w:r>
        <w:rPr>
          <w:noProof/>
        </w:rPr>
        <w:t xml:space="preserve">j) </w:t>
      </w:r>
      <w:r>
        <w:rPr>
          <w:noProof/>
        </w:rPr>
        <w:tab/>
        <w:t>promuove il coordinamento tra le ORGP e le convenzioni marittime regionali e la cooperazione con le organizzazioni mondiali, se applicabile, nell’ambito dei rispettivi mandati;</w:t>
      </w:r>
    </w:p>
    <w:p>
      <w:pPr>
        <w:pStyle w:val="Point0"/>
        <w:rPr>
          <w:noProof/>
          <w:szCs w:val="24"/>
        </w:rPr>
      </w:pPr>
      <w:r>
        <w:rPr>
          <w:noProof/>
        </w:rPr>
        <w:t xml:space="preserve">k) </w:t>
      </w:r>
      <w:r>
        <w:rPr>
          <w:noProof/>
        </w:rPr>
        <w:tab/>
        <w:t>elabora, se del caso, approcci comuni con altre organizzazioni regionali di gestione della pesca, in particolare quelle che partecipano alla gestione delle attività di pesca nella stessa zona;</w:t>
      </w:r>
    </w:p>
    <w:p>
      <w:pPr>
        <w:pStyle w:val="Point0"/>
        <w:rPr>
          <w:noProof/>
          <w:szCs w:val="24"/>
        </w:rPr>
      </w:pPr>
      <w:r>
        <w:rPr>
          <w:noProof/>
        </w:rPr>
        <w:t>l)</w:t>
      </w:r>
      <w:r>
        <w:rPr>
          <w:noProof/>
        </w:rPr>
        <w:tab/>
        <w:t>promuove il coordinamento e la cooperazione con le altre ORGP che gestiscono la pesca del tonno su aspetti di interesse comune, in particolare attraverso la riattivazione del cosiddetto processo di Kobe per le ORGP che gestiscono la pesca del tonno e una sua estensione a tutte le ORGP.</w:t>
      </w:r>
    </w:p>
    <w:p>
      <w:pPr>
        <w:pStyle w:val="Heading1"/>
        <w:rPr>
          <w:noProof/>
        </w:rPr>
      </w:pPr>
      <w:r>
        <w:rPr>
          <w:noProof/>
        </w:rPr>
        <w:t>ORIENTAMENTI</w:t>
      </w:r>
    </w:p>
    <w:p>
      <w:pPr>
        <w:autoSpaceDE w:val="0"/>
        <w:autoSpaceDN w:val="0"/>
        <w:adjustRightInd w:val="0"/>
        <w:spacing w:before="0" w:after="0"/>
        <w:rPr>
          <w:noProof/>
        </w:rPr>
      </w:pPr>
      <w:r>
        <w:rPr>
          <w:noProof/>
        </w:rPr>
        <w:t>L'Unione si adopera, ove del caso, per sostenere l'adozione delle azioni seguenti da parte della WCPFC:</w:t>
      </w:r>
    </w:p>
    <w:p>
      <w:pPr>
        <w:pStyle w:val="Point0"/>
        <w:rPr>
          <w:noProof/>
        </w:rPr>
      </w:pPr>
      <w:r>
        <w:rPr>
          <w:noProof/>
        </w:rPr>
        <w:t xml:space="preserve">a) </w:t>
      </w:r>
      <w:r>
        <w:rPr>
          <w:noProof/>
        </w:rPr>
        <w:tab/>
        <w:t>misure di conservazione e di gestione delle risorse alieutiche nella zona della convenzione WCPF basate sui migliori pareri scientifici disponibili, inclusi totali ammissibili di cattura (TAC) e contingenti, misure relative allo sforzo o alla capacità di pesca per le risorse biologiche marine vive disciplinate dalla WCPFC, che consentano di ricondurre o mantenere il tasso di sfruttamento a livelli compatibili con il rendimento massimo sostenibile entro il 2020. Se necessario, tali misure di conservazione e di gestione includono misure specifiche per gli stock eccessivamente sfruttati al fine di mantenere lo sforzo di pesca in linea con le possibilità di pesca disponibili;</w:t>
      </w:r>
    </w:p>
    <w:p>
      <w:pPr>
        <w:pStyle w:val="Point0"/>
        <w:rPr>
          <w:noProof/>
        </w:rPr>
      </w:pPr>
      <w:r>
        <w:rPr>
          <w:noProof/>
        </w:rPr>
        <w:t xml:space="preserve">b) </w:t>
      </w:r>
      <w:r>
        <w:rPr>
          <w:noProof/>
        </w:rPr>
        <w:tab/>
        <w:t xml:space="preserve">misure intese a prevenire, scoraggiare ed eliminare le attività di pesca </w:t>
      </w:r>
      <w:r>
        <w:rPr>
          <w:noProof/>
          <w:sz w:val="23"/>
        </w:rPr>
        <w:t>illegale, non dichiarata e non regolamentata</w:t>
      </w:r>
      <w:r>
        <w:rPr>
          <w:noProof/>
        </w:rPr>
        <w:t xml:space="preserve"> (INN) nella zona della convenzione, compresa la compilazione di elenchi di navi INN;</w:t>
      </w:r>
    </w:p>
    <w:p>
      <w:pPr>
        <w:pStyle w:val="Point0"/>
        <w:rPr>
          <w:noProof/>
        </w:rPr>
      </w:pPr>
      <w:r>
        <w:rPr>
          <w:noProof/>
        </w:rPr>
        <w:t xml:space="preserve">c) </w:t>
      </w:r>
      <w:r>
        <w:rPr>
          <w:noProof/>
        </w:rPr>
        <w:tab/>
        <w:t>misure di monitoraggio, controllo e sorveglianza nella zona della convenzione WCPF per garantire l'efficacia dei controlli e la conformità alle misure adottate nell'ambito della WCPFC;</w:t>
      </w:r>
    </w:p>
    <w:p>
      <w:pPr>
        <w:pStyle w:val="Point0"/>
        <w:rPr>
          <w:noProof/>
        </w:rPr>
      </w:pPr>
      <w:r>
        <w:rPr>
          <w:noProof/>
        </w:rPr>
        <w:t xml:space="preserve">d) </w:t>
      </w:r>
      <w:r>
        <w:rPr>
          <w:noProof/>
        </w:rPr>
        <w:tab/>
        <w:t xml:space="preserve">misure intese a ridurre al minimo l’impatto negativo delle attività di pesca sulla biodiversità e sugli ecosistemi marini e relativi habitat, comprese misure volte a ridurre l’inquinamento marino e prevenire lo scarico di plastica in mare e a ridurre l'impatto della plastica presente in mare sulla biodiversità e gli ecosistemi marini, misure per proteggere gli ecosistemi marini vulnerabili nella zona della convenzione WCPF in linea con la stessa convenzione, nonché misure dirette a evitare e ridurre </w:t>
      </w:r>
      <w:r>
        <w:rPr>
          <w:noProof/>
        </w:rPr>
        <w:lastRenderedPageBreak/>
        <w:t>quanto più possibile le catture indesiderate, in particolare di specie marine vulnerabili, e a eliminare progressivamente i rigetti in mare;</w:t>
      </w:r>
    </w:p>
    <w:p>
      <w:pPr>
        <w:pStyle w:val="Point0"/>
        <w:rPr>
          <w:noProof/>
        </w:rPr>
      </w:pPr>
      <w:r>
        <w:rPr>
          <w:noProof/>
        </w:rPr>
        <w:t>e)</w:t>
      </w:r>
      <w:r>
        <w:rPr>
          <w:noProof/>
        </w:rPr>
        <w:tab/>
        <w:t>misure volte a gestire l'utilizzo dei dispositivi di concentrazione del pesce (FAD), in particolare per migliorare la raccolta dei dati, per quantificare, individuare e monitorare in modo accurato l'uso di tali dispositivi, per ridurne l'impatto sugli stock di tonno vulnerabili e attenuarne i possibili effetti sulle specie bersaglio e non bersaglio, come pure sugli ecosistemi, e per ridurne il contributo alla generazione di rifiuti marini;</w:t>
      </w:r>
    </w:p>
    <w:p>
      <w:pPr>
        <w:pStyle w:val="Point0"/>
        <w:rPr>
          <w:noProof/>
        </w:rPr>
      </w:pPr>
      <w:r>
        <w:rPr>
          <w:noProof/>
        </w:rPr>
        <w:t>f)</w:t>
      </w:r>
      <w:r>
        <w:rPr>
          <w:noProof/>
        </w:rPr>
        <w:tab/>
        <w:t>misure per ridurre l'impatto degli attrezzi da pesca abbandonati, persi o altrimenti dismessi (ALDFG) nell'oceano e facilitare l’individuazione e il recupero di tali attrezzi;</w:t>
      </w:r>
    </w:p>
    <w:p>
      <w:pPr>
        <w:pStyle w:val="Point0"/>
        <w:rPr>
          <w:noProof/>
        </w:rPr>
      </w:pPr>
      <w:r>
        <w:rPr>
          <w:noProof/>
        </w:rPr>
        <w:t xml:space="preserve">g) </w:t>
      </w:r>
      <w:r>
        <w:rPr>
          <w:noProof/>
        </w:rPr>
        <w:tab/>
        <w:t>misure volte a vietare le attività di pesca praticate al solo scopo di prelevare pinne di squalo e a imporre che tutti gli squali siano sbarcati con le tutte le pinne attaccate al corpo;</w:t>
      </w:r>
    </w:p>
    <w:p>
      <w:pPr>
        <w:pStyle w:val="Point0"/>
        <w:rPr>
          <w:noProof/>
        </w:rPr>
      </w:pPr>
      <w:r>
        <w:rPr>
          <w:noProof/>
        </w:rPr>
        <w:t xml:space="preserve">h) </w:t>
      </w:r>
      <w:r>
        <w:rPr>
          <w:noProof/>
        </w:rPr>
        <w:tab/>
        <w:t>raccomandazioni, se opportuno, e nella misura consentita dai pertinenti documenti costitutivi, incoraggiando l'attuazione della Convenzione sul lavoro nel settore della pesca dell'Organizzazione internazionale del lavoro (ILO);</w:t>
      </w:r>
    </w:p>
    <w:p>
      <w:pPr>
        <w:pStyle w:val="Point0"/>
        <w:rPr>
          <w:noProof/>
        </w:rPr>
      </w:pPr>
      <w:r>
        <w:rPr>
          <w:noProof/>
        </w:rPr>
        <w:t xml:space="preserve">i) </w:t>
      </w:r>
      <w:r>
        <w:rPr>
          <w:noProof/>
        </w:rPr>
        <w:tab/>
        <w:t xml:space="preserve">misure tecniche supplementari basate sul parere degli organi ausiliari e dei gruppi di lavoro della WCPFC.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lastRenderedPageBreak/>
        <w:t>ALLEGATO II</w:t>
      </w:r>
    </w:p>
    <w:p>
      <w:pPr>
        <w:jc w:val="center"/>
        <w:rPr>
          <w:rFonts w:eastAsia="Calibri"/>
          <w:b/>
          <w:noProof/>
          <w:szCs w:val="20"/>
          <w:u w:val="single"/>
        </w:rPr>
      </w:pPr>
      <w:r>
        <w:rPr>
          <w:b/>
          <w:noProof/>
          <w:u w:val="single"/>
        </w:rPr>
        <w:t>Definizione su base annuale della posizione che l'Unione deve adottare</w:t>
      </w:r>
    </w:p>
    <w:p>
      <w:pPr>
        <w:jc w:val="center"/>
        <w:rPr>
          <w:rFonts w:eastAsia="Calibri"/>
          <w:b/>
          <w:i/>
          <w:strike/>
          <w:noProof/>
          <w:szCs w:val="20"/>
          <w:u w:val="single"/>
        </w:rPr>
      </w:pPr>
      <w:r>
        <w:rPr>
          <w:b/>
          <w:noProof/>
          <w:u w:val="single"/>
        </w:rPr>
        <w:t xml:space="preserve">alle riunioni della Commissione per la pesca nel Pacifico centro-occidentale </w:t>
      </w:r>
    </w:p>
    <w:p>
      <w:pPr>
        <w:rPr>
          <w:rFonts w:eastAsia="Calibri"/>
          <w:noProof/>
          <w:szCs w:val="20"/>
        </w:rPr>
      </w:pPr>
      <w:r>
        <w:rPr>
          <w:noProof/>
        </w:rPr>
        <w:t>Prima di ogni riunione della WCPFC, e quando tale organismo è chiamato ad adottare decisioni aventi effetti vincolanti per l'Unione, vengono prese le disposizioni necessarie affinché la posizione che deve essere espressa a nome dell'Unione tenga conto dei più recenti dati scientifici e delle altre informazioni pertinenti trasmesse alla Commissione europea, conformemente ai principi e agli orientamenti di cui all'allegato I.</w:t>
      </w:r>
    </w:p>
    <w:p>
      <w:pPr>
        <w:rPr>
          <w:rFonts w:eastAsia="Calibri"/>
          <w:noProof/>
          <w:szCs w:val="20"/>
        </w:rPr>
      </w:pPr>
      <w:r>
        <w:rPr>
          <w:noProof/>
        </w:rPr>
        <w:t>A tal fine e sulla base di tali informazioni, la Commissione europea trasmette al Consiglio o ai suoi organi preparatori, con congruo anticipo sullo svolgimento di ogni riunione della WCPFC, un documento scritto che illustra in dettaglio la proposta di definizione della posizione dell'Unione, per esame e approvazione dei singoli punti della posizione che sarà espressa a nome dell'Unione.</w:t>
      </w:r>
    </w:p>
    <w:p>
      <w:pPr>
        <w:rPr>
          <w:rFonts w:eastAsia="Calibri"/>
          <w:noProof/>
          <w:szCs w:val="20"/>
        </w:rPr>
      </w:pPr>
      <w:r>
        <w:rPr>
          <w:noProof/>
        </w:rPr>
        <w:t>Qualora nel corso di una riunione della WCFPC sia impossibile raggiungere, anche sul posto, un accordo che permetta di tenere conto di nuovi elementi nella posizione dell'Unione, la questione è sottoposta al Consiglio o ai suoi organi preparatori.</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GB"/>
        </w:rPr>
        <w:tab/>
        <w:t xml:space="preserve">7087/12 REV 1 ADD 1 COR 1. </w:t>
      </w:r>
    </w:p>
  </w:footnote>
  <w:footnote w:id="2">
    <w:p>
      <w:pPr>
        <w:pStyle w:val="FootnoteText"/>
        <w:rPr>
          <w:lang w:val="en-GB"/>
        </w:rPr>
      </w:pPr>
      <w:r>
        <w:rPr>
          <w:rStyle w:val="FootnoteReference"/>
        </w:rPr>
        <w:footnoteRef/>
      </w:r>
      <w:r>
        <w:rPr>
          <w:lang w:val="en-GB"/>
        </w:rPr>
        <w:tab/>
        <w:t>JOIN (2016) 49 final del 10.11.2016.</w:t>
      </w:r>
    </w:p>
  </w:footnote>
  <w:footnote w:id="3">
    <w:p>
      <w:pPr>
        <w:pStyle w:val="FootnoteText"/>
        <w:rPr>
          <w:lang w:val="en-US"/>
        </w:rPr>
      </w:pPr>
      <w:r>
        <w:rPr>
          <w:rStyle w:val="FootnoteReference"/>
        </w:rPr>
        <w:footnoteRef/>
      </w:r>
      <w:r>
        <w:tab/>
        <w:t>7348/1/17 REV 1, del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1E7A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F4A9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9C019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0E4A206"/>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7:38: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2"/>
    <w:docVar w:name="LW_ANNEX_UNIQUE" w:val="0"/>
    <w:docVar w:name="LW_CORRIGENDUM" w:val="&lt;UNUSED&gt;"/>
    <w:docVar w:name="LW_COVERPAGE_EXISTS" w:val="True"/>
    <w:docVar w:name="LW_COVERPAGE_GUID" w:val="EBEB8AB1-A817-45DC-9CAE-E678DC70DF4E"/>
    <w:docVar w:name="LW_COVERPAGE_TYPE" w:val="1"/>
    <w:docVar w:name="LW_CROSSREFERENCE" w:val="&lt;UNUSED&gt;"/>
    <w:docVar w:name="LW_DocType" w:val="ANNEX"/>
    <w:docVar w:name="LW_EMISSION" w:val="7.3.2019"/>
    <w:docVar w:name="LW_EMISSION_ISODATE" w:val="2019-03-07"/>
    <w:docVar w:name="LW_EMISSION_LOCATION" w:val="BRX"/>
    <w:docVar w:name="LW_EMISSION_PREFIX" w:val="Bruxelles, "/>
    <w:docVar w:name="LW_EMISSION_SUFFIX" w:val="&lt;EMPTY&gt;"/>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relativa alla posizione da adottare a nome dell\u8217?Unione europea nell'ambito della Commissione per la pesca nel Pacifico centro-occidentale e che abroga la decisione 10124/1/14 REV 1"/>
    <w:docVar w:name="LW_OBJETACTEPRINCIPAL.CP" w:val="relativa alla posizione da adottare a nome dell\u8217?Unione europea nell'ambito della Commissione per la pesca nel Pacifico centro-occidentale e che abroga la decisione 10124/1/14 REV 1"/>
    <w:docVar w:name="LW_PART_NBR" w:val="&lt;UNUSED&gt;"/>
    <w:docVar w:name="LW_PART_NBR_TOTAL" w:val="&lt;UNUSED&gt;"/>
    <w:docVar w:name="LW_REF.INST.NEW" w:val="COM"/>
    <w:docVar w:name="LW_REF.INST.NEW_ADOPTED" w:val="final"/>
    <w:docVar w:name="LW_REF.INST.NEW_TEXT" w:val="(2019)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LLEGATI"/>
    <w:docVar w:name="LW_TYPE.DOC.CP" w:val="ALLEGATI"/>
    <w:docVar w:name="LW_TYPEACTEPRINCIPAL" w:val="proposta di decisione del Consiglio_x000b_"/>
    <w:docVar w:name="LW_TYPEACTEPRINCIPAL.CP" w:val="proposta di decisione del Consiglio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5</Pages>
  <Words>1225</Words>
  <Characters>7182</Characters>
  <Application>Microsoft Office Word</Application>
  <DocSecurity>0</DocSecurity>
  <Lines>123</Lines>
  <Paragraphs>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MOLLEDO Luis (MARE)</dc:creator>
  <cp:lastModifiedBy>DIGIT/C6</cp:lastModifiedBy>
  <cp:revision>8</cp:revision>
  <cp:lastPrinted>2019-01-03T13:25:00Z</cp:lastPrinted>
  <dcterms:created xsi:type="dcterms:W3CDTF">2019-02-27T12:24:00Z</dcterms:created>
  <dcterms:modified xsi:type="dcterms:W3CDTF">2019-03-06T06:38:00Z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