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11849AE-3CC0-45CC-A4F8-93CFA3639DB7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Objeto da proposta</w:t>
      </w:r>
    </w:p>
    <w:p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noProof/>
          <w:szCs w:val="24"/>
        </w:rPr>
      </w:pPr>
      <w:r>
        <w:rPr>
          <w:noProof/>
        </w:rPr>
        <w:t>A presente proposta diz respeito a uma decisão que estabelece a posição a adotar, em nome da União, nas sessões da Comissão Interamericana do Atum Tropical (IATTC) e na Reunião das Partes do Acordo sobre o Programa Internacional de Conservação dos Golfinhos, no período 2019–2023, sobre a adoção prevista de medidas.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Contexto da 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Convenção de Antígua e Programa Internacional de Conservação dos Golfinhos</w:t>
      </w:r>
    </w:p>
    <w:p>
      <w:pPr>
        <w:rPr>
          <w:noProof/>
        </w:rPr>
      </w:pPr>
      <w:r>
        <w:rPr>
          <w:noProof/>
        </w:rPr>
        <w:t>Com a criação da IATTC, a Convenção para o Reforço da Comissão Interamericana do Atum Tropical estabelecida pela Convenção de 1949 entre os Estados Unidos da América e a República da Costa Rica (Convenção de Antígua) visa assegurar a conservação a longo prazo e a exploração sustentável das unidades populacionais abrangidas pela Convenção de Antígua. A Convenção de Antígua entrou em vigor em 10 de outubro de 2008.</w:t>
      </w:r>
    </w:p>
    <w:p>
      <w:pPr>
        <w:rPr>
          <w:noProof/>
        </w:rPr>
      </w:pPr>
      <w:r>
        <w:rPr>
          <w:noProof/>
        </w:rPr>
        <w:t>O Acordo sobre o Programa Internacional de Conservação dos Golfinhos (Acordo IDCP) visa, com a criação da Reunião das Partes no AIDCP, reduzir progressivamente para níveis próximos de zero a mortalidade acidental de golfinhos na Convenção de Antígua. Ao abrigo do artigo XIV da Convenção de Antígua, a IATTC deve desempenhar um papel central na coordenação da execução do Acordo e na execução das medidas adotadas no quadro do AIDCP. O Acordo entrou em vigor em 15 de fevereiro de 1999.</w:t>
      </w:r>
    </w:p>
    <w:p>
      <w:pPr>
        <w:rPr>
          <w:noProof/>
        </w:rPr>
      </w:pPr>
      <w:r>
        <w:rPr>
          <w:noProof/>
        </w:rPr>
        <w:t>A União é parte na IATTC e no AIDCP, tendo aprovado a Convenção de Antígua e o AIDCP pela Decisão 2006/539/CE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e pela Decisão 2005/938/CE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do Conselho, respetivamente.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Comissão Interamericana do Atum Tropical e Reunião das Partes no Programa Internacional de Conservação dos Golfinhos</w:t>
      </w:r>
    </w:p>
    <w:p>
      <w:pPr>
        <w:rPr>
          <w:noProof/>
        </w:rPr>
      </w:pPr>
      <w:r>
        <w:rPr>
          <w:noProof/>
        </w:rPr>
        <w:t>A IATTC é o órgão responsável pela gestão e conservação dos recursos haliêuticos na área da Convenção de Antígua e foi criada por esta Convenção. Adota medidas de conservação e de gestão para assegurar a conservação a longo prazo e a exploração sustentável das unidades populacionais abrangidas pela Convenção.</w:t>
      </w:r>
    </w:p>
    <w:p>
      <w:pPr>
        <w:rPr>
          <w:noProof/>
        </w:rPr>
      </w:pPr>
      <w:r>
        <w:rPr>
          <w:noProof/>
        </w:rPr>
        <w:t>A Reunião das Partes no AIDCP é o órgão criado pelo AIDCP para assegurar a sustentabilidade a longo prazo dos recursos marinhos vivos associados à pescaria do atum com redes de cerco com retenida na área da Convenção de Antígua. A IATTC tem importantes responsabilidades pela execução das medidas adotadas pela Reunião das Partes no AIDCP e assegura o secretariado do AIDCP.</w:t>
      </w:r>
    </w:p>
    <w:p>
      <w:pPr>
        <w:rPr>
          <w:noProof/>
        </w:rPr>
      </w:pPr>
      <w:r>
        <w:rPr>
          <w:noProof/>
        </w:rPr>
        <w:t>As medidas adotadas pela IATTC e pela Reunião das Partes no AIDCP podem tornar-se vinculativas para a União.</w:t>
      </w:r>
    </w:p>
    <w:p>
      <w:pPr>
        <w:rPr>
          <w:rFonts w:eastAsia="Arial Unicode MS"/>
          <w:noProof/>
        </w:rPr>
      </w:pPr>
      <w:r>
        <w:rPr>
          <w:noProof/>
        </w:rPr>
        <w:t>Enquanto membro da IATTC e da Reunião das Partes no AIDCP, a União tem o direito de participar e de votar. A IATTC e a Reunião das Partes no AIDCP tomam as suas decisões por consenso.</w:t>
      </w:r>
    </w:p>
    <w:p>
      <w:pPr>
        <w:pStyle w:val="ManualHeading2"/>
        <w:rPr>
          <w:noProof/>
        </w:rPr>
      </w:pPr>
      <w:r>
        <w:lastRenderedPageBreak/>
        <w:t>2.3.</w:t>
      </w:r>
      <w:r>
        <w:tab/>
      </w:r>
      <w:r>
        <w:rPr>
          <w:noProof/>
        </w:rPr>
        <w:t>Decisões adotadas pela IATTC e pela Reunião das Partes no AIDCP</w:t>
      </w:r>
    </w:p>
    <w:p>
      <w:pPr>
        <w:rPr>
          <w:rFonts w:eastAsia="Arial Unicode MS"/>
          <w:noProof/>
        </w:rPr>
      </w:pPr>
      <w:r>
        <w:rPr>
          <w:noProof/>
        </w:rPr>
        <w:t>A IATTC tem autoridade para adotar medidas de conservação e de gestão («resoluções») das pescarias sob a sua alçada, sendo essas medidas vinculativas para as partes contratantes.</w:t>
      </w:r>
    </w:p>
    <w:p>
      <w:pPr>
        <w:rPr>
          <w:noProof/>
        </w:rPr>
      </w:pPr>
      <w:r>
        <w:rPr>
          <w:noProof/>
        </w:rPr>
        <w:t>Em conformidade com o artigo IX, n.º 7, da Convenção da Antígua, as resoluções entram em vigor 45 dias depois de a IATTC as notificar às partes contratantes.</w:t>
      </w:r>
    </w:p>
    <w:p>
      <w:pPr>
        <w:rPr>
          <w:noProof/>
        </w:rPr>
      </w:pPr>
      <w:r>
        <w:rPr>
          <w:noProof/>
        </w:rPr>
        <w:t>A Reunião das Partes no AIDCP tem autoridade para adotar decisões destinadas a atingir os objetivos do AIDCP, sendo essas decisões, uma vez adotadas, vinculativas para as partes contratantes.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Posição a adotar em nome da União</w:t>
      </w:r>
    </w:p>
    <w:p>
      <w:pPr>
        <w:rPr>
          <w:rFonts w:eastAsia="Times New Roman"/>
          <w:noProof/>
        </w:rPr>
      </w:pPr>
      <w:r>
        <w:rPr>
          <w:noProof/>
        </w:rPr>
        <w:t>A posição a adotar em nome da União nas reuniões anuais das organizações regionais de gestão das pescas (ORGP) é atualmente estabelecida em duas etapas. Uma decisão do Conselho define os princípios e as orientações para o estabelecimento da posição da União numa base plurianual; tal posição é posteriormente adaptada para cada reunião anual através de documentos informais da Comissão a debater no grupo de trabalho do Conselho.</w:t>
      </w:r>
    </w:p>
    <w:p>
      <w:pPr>
        <w:rPr>
          <w:rFonts w:eastAsia="Times New Roman"/>
          <w:noProof/>
        </w:rPr>
      </w:pPr>
      <w:r>
        <w:rPr>
          <w:noProof/>
        </w:rPr>
        <w:t>No caso da IATTC, esta abordagem é aplicada pela Decisão 10126/14 do Conselho, de 23 de maio de 2014, que estabelece a posição da União no âmbito da IATTC e da Reunião das Partes no AIDCP para o período 2014–2018. A decisão contém princípios e orientações gerais, mas tem igualmente em conta, na medida do possível, as especificidades da IATTC e do AIDCP. Determina igualmente o processo normalizado para o estabelecimento da posição anual da União, conforme pedido pelos Estados-Membros.</w:t>
      </w:r>
    </w:p>
    <w:p>
      <w:pPr>
        <w:rPr>
          <w:rFonts w:eastAsia="Times New Roman"/>
          <w:noProof/>
        </w:rPr>
      </w:pPr>
      <w:r>
        <w:rPr>
          <w:noProof/>
        </w:rPr>
        <w:t>A Decisão 10126/14 prevê o reexame da posição da União antes da sessão anual de 2019. Por conseguinte, a presente proposta define a posição da União no âmbito da IATTC para o período 2019</w:t>
      </w:r>
      <w:r>
        <w:rPr>
          <w:noProof/>
        </w:rPr>
        <w:noBreakHyphen/>
        <w:t>2023, substituindo assim a Decisão 10126/14.</w:t>
      </w:r>
    </w:p>
    <w:p>
      <w:pPr>
        <w:rPr>
          <w:rFonts w:eastAsia="Times New Roman"/>
          <w:noProof/>
        </w:rPr>
      </w:pPr>
      <w:r>
        <w:rPr>
          <w:noProof/>
        </w:rPr>
        <w:t>A Decisão 10126/14 integrava os princípios e as orientações da nova política comum das pescas (PCP), estabelecidos no Regulamento (UE) n.º 1380/2013 do Parlamento Europeu e do Conselho</w:t>
      </w:r>
      <w:r>
        <w:rPr>
          <w:rStyle w:val="FootnoteReference"/>
          <w:noProof/>
        </w:rPr>
        <w:footnoteReference w:id="3"/>
      </w:r>
      <w:r>
        <w:rPr>
          <w:noProof/>
        </w:rPr>
        <w:t>, tendo igualmente em conta os objetivos da Comunicação da Comissão sobre a dimensão externa da PCP</w:t>
      </w:r>
      <w:r>
        <w:rPr>
          <w:rStyle w:val="FootnoteReference"/>
          <w:noProof/>
        </w:rPr>
        <w:footnoteReference w:id="4"/>
      </w:r>
      <w:r>
        <w:rPr>
          <w:noProof/>
        </w:rPr>
        <w:t>. Pela mesma decisão, a posição da União foi ajustada ao Tratado de Lisboa.</w:t>
      </w:r>
    </w:p>
    <w:p>
      <w:pPr>
        <w:rPr>
          <w:noProof/>
        </w:rPr>
      </w:pPr>
      <w:r>
        <w:rPr>
          <w:noProof/>
        </w:rPr>
        <w:t>No referente ao impacto da pesca, esta revisão tem em conta a Comunicação da Comissão ao Parlamento Europeu, ao Conselho, ao Comité Económico e Social Europeu e ao Comité das Regiões intitulada «</w:t>
      </w:r>
      <w:r>
        <w:rPr>
          <w:i/>
          <w:noProof/>
        </w:rPr>
        <w:t>Uma Estratégia Europeia para os Plásticos na Economia Circular</w:t>
      </w:r>
      <w:r>
        <w:rPr>
          <w:noProof/>
        </w:rPr>
        <w:t>»</w:t>
      </w:r>
      <w:r>
        <w:rPr>
          <w:rStyle w:val="FootnoteReference"/>
          <w:noProof/>
        </w:rPr>
        <w:footnoteReference w:id="5"/>
      </w:r>
      <w:r>
        <w:rPr>
          <w:noProof/>
        </w:rPr>
        <w:t>, a Comunicação Conjunta da Alta Representante da União para os Negócios Estrangeiros e a Política de Segurança e da Comissão intitulada «</w:t>
      </w:r>
      <w:r>
        <w:rPr>
          <w:i/>
          <w:noProof/>
        </w:rPr>
        <w:t>Governação Internacional dos Oceanos</w:t>
      </w:r>
      <w:r>
        <w:rPr>
          <w:noProof/>
        </w:rPr>
        <w:t>:</w:t>
      </w:r>
      <w:r>
        <w:rPr>
          <w:i/>
          <w:noProof/>
        </w:rPr>
        <w:t xml:space="preserve"> uma agenda para o futuro dos oceanos</w:t>
      </w:r>
      <w:r>
        <w:rPr>
          <w:noProof/>
        </w:rPr>
        <w:t>»</w:t>
      </w:r>
      <w:r>
        <w:rPr>
          <w:rStyle w:val="FootnoteReference"/>
          <w:noProof/>
        </w:rPr>
        <w:footnoteReference w:id="6"/>
      </w:r>
      <w:r>
        <w:rPr>
          <w:noProof/>
        </w:rPr>
        <w:t>, bem como as conclusões do Conselho sobre esta comunicação conjunta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lastRenderedPageBreak/>
        <w:t>4.</w:t>
      </w:r>
      <w:r>
        <w:tab/>
      </w:r>
      <w:r>
        <w:rPr>
          <w:noProof/>
        </w:rPr>
        <w:t>Base jurídica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Base jurídica processual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>O artigo 218.º, n.º 9, do Tratado sobre o Funcionamento da União Europeia (TFUE) prevê a adoção de decisões que definam «as posições a tomar em nome da União numa instância criada por um acordo, quando essa instância for chamada a adotar atos que produzam efeitos jurídicos, com exceção dos atos que completem ou alterem o quadro institucional do acordo».</w:t>
      </w:r>
    </w:p>
    <w:p>
      <w:pPr>
        <w:rPr>
          <w:noProof/>
        </w:rPr>
      </w:pPr>
      <w:r>
        <w:rPr>
          <w:noProof/>
        </w:rPr>
        <w:t>A noção de «atos que produzem efeitos jurídicos» engloba os atos que produzem efeitos jurídicos por força das normas do direito internacional que regem o organismo em questão e os instrumentos que não têm um efeito vinculativo por força do direito internacional, mas que «tendem a influenciar de forma determinante o conteúdo da regulamentação adotada pelo legislador da União»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Aplicação ao caso vertente</w:t>
      </w:r>
    </w:p>
    <w:p>
      <w:pPr>
        <w:rPr>
          <w:noProof/>
        </w:rPr>
      </w:pPr>
      <w:r>
        <w:rPr>
          <w:noProof/>
        </w:rPr>
        <w:t>A IATTC e a Reunião das Partes no AIDCP são órgãos criados por um acordo, nomeadamente a Convenção de Antígua e o AIDCP.</w:t>
      </w:r>
    </w:p>
    <w:p>
      <w:pPr>
        <w:rPr>
          <w:noProof/>
        </w:rPr>
      </w:pPr>
      <w:r>
        <w:rPr>
          <w:noProof/>
        </w:rPr>
        <w:t>Os atos que a IATTC e a Reunião das Partes no AIDCP são chamadas a adotar produzem efeitos jurídicos. Os atos previstos são vinculativos por força do direito internacional, em conformidade com o artigo IX da Convenção de Antígua e o artigo VII do AIDCP, podendo influenciar de forma determinante o conteúdo da legislação da UE, nomeadamente dos seguintes atos:</w:t>
      </w:r>
    </w:p>
    <w:p>
      <w:pPr>
        <w:pStyle w:val="Bullet0"/>
        <w:numPr>
          <w:ilvl w:val="0"/>
          <w:numId w:val="12"/>
        </w:numPr>
        <w:rPr>
          <w:noProof/>
        </w:rPr>
      </w:pPr>
      <w:r>
        <w:rPr>
          <w:noProof/>
        </w:rPr>
        <w:t>Regulamento (CE) n.º 1005/2008 do Conselho, que estabelece um regime comunitário para prevenir, impedir e eliminar a pesca ilegal, não declarada e não regulamentada (INN)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; </w:t>
      </w:r>
    </w:p>
    <w:p>
      <w:pPr>
        <w:pStyle w:val="Bullet0"/>
        <w:rPr>
          <w:noProof/>
        </w:rPr>
      </w:pPr>
      <w:r>
        <w:rPr>
          <w:noProof/>
        </w:rPr>
        <w:t>Regulamento (CE) n.º 1224/2009 do Conselho, que institui um regime comunitário de controlo a fim de assegurar o cumprimento das regras da política comum das pescas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; - </w:t>
      </w:r>
    </w:p>
    <w:p>
      <w:pPr>
        <w:pStyle w:val="Bullet0"/>
        <w:rPr>
          <w:noProof/>
        </w:rPr>
      </w:pPr>
      <w:r>
        <w:rPr>
          <w:noProof/>
        </w:rPr>
        <w:t>Regulamento (UE) 2017/2403 do Parlamento Europeu e do Conselho, de 12 de dezembro de 2017, relativo à gestão sustentável das frotas de pesca externas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Os atos previstos não completam nem alteram o quadro institucional da Convenção de Antígua nem do AIDCP.</w:t>
      </w:r>
    </w:p>
    <w:p>
      <w:pPr>
        <w:rPr>
          <w:noProof/>
        </w:rPr>
      </w:pPr>
      <w:r>
        <w:rPr>
          <w:noProof/>
        </w:rPr>
        <w:t>Por conseguinte, a base jurídica processual da decisão proposta é o artigo 218.º, n.º 9, do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Base jurídica material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 xml:space="preserve">A base jurídica material para a adoção de uma decisão com fundamento no artigo 218.º, n.º 9, do TFUE depende essencialmente do objetivo e do conteúdo do ato previsto em relação ao qual é adotada uma posição em nome da União. Se esse ato tiver duas finalidades ou duas componentes, e se uma dessas finalidades ou componentes for identificável como sendo a principal e a outra como sendo apenas acessória, a decisão a adotar com fundamento no artigo </w:t>
      </w:r>
      <w:r>
        <w:rPr>
          <w:noProof/>
        </w:rPr>
        <w:lastRenderedPageBreak/>
        <w:t>218.º, n.º 9, do TFUE deve ter uma única base jurídica substantiva, concretamente a determinada pela finalidade ou componente principal ou preponderante.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Aplicação ao caso vertente</w:t>
      </w:r>
    </w:p>
    <w:p>
      <w:pPr>
        <w:rPr>
          <w:noProof/>
        </w:rPr>
      </w:pPr>
      <w:r>
        <w:rPr>
          <w:noProof/>
        </w:rPr>
        <w:t>O objetivo e o conteúdo principais do ato previsto estão relacionados com a pesca. O Regulamento (UE) n.º 1380/2013 é a base jurídica cujos princípios a posição deve refletir.</w:t>
      </w:r>
    </w:p>
    <w:p>
      <w:pPr>
        <w:rPr>
          <w:noProof/>
        </w:rPr>
      </w:pPr>
      <w:r>
        <w:rPr>
          <w:noProof/>
        </w:rPr>
        <w:t>Por conseguinte, a base jurídica substantiva da decisão proposta é o artigo 43.º, n.º 2, do TFUE. A presente decisão substitui a Decisão 10126/14,</w:t>
      </w:r>
      <w:r>
        <w:rPr>
          <w:rFonts w:ascii="TimesNewRomanPS-BoldMT" w:hAnsi="TimesNewRomanPS-BoldMT"/>
          <w:noProof/>
        </w:rPr>
        <w:t xml:space="preserve"> </w:t>
      </w:r>
      <w:r>
        <w:rPr>
          <w:noProof/>
        </w:rPr>
        <w:t>que abrange o período 2014–2018.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Conclusão</w:t>
      </w:r>
    </w:p>
    <w:p>
      <w:pPr>
        <w:rPr>
          <w:noProof/>
        </w:rPr>
      </w:pPr>
      <w:r>
        <w:rPr>
          <w:noProof/>
        </w:rPr>
        <w:t>A base jurídica da decisão proposta deve ser o artigo 43.º, n.º 2, do TFUE</w:t>
      </w:r>
      <w:r>
        <w:t>,</w:t>
      </w:r>
      <w:r>
        <w:rPr>
          <w:noProof/>
        </w:rPr>
        <w:t xml:space="preserve"> em conjugação com o artigo 218.º, n.º 9, do TFUE.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2019/0064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tomar em nome da União Europeia na Comissão Interamericana do Atum Tropical e na Reunião das Partes no Acordo sobre o Programa Internacional de Conservação dos Golfinhos e que revoga a Decisão 10126/14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43.º, n.º 2</w:t>
      </w:r>
      <w:r>
        <w:t xml:space="preserve">, </w:t>
      </w:r>
      <w:r>
        <w:rPr>
          <w:noProof/>
        </w:rPr>
        <w:t>em conjugação com o artigo 218.º, n.º 9,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Pela Decisão 2006/539/CE do Conselho</w:t>
      </w:r>
      <w:r>
        <w:rPr>
          <w:rStyle w:val="FootnoteReference"/>
          <w:noProof/>
        </w:rPr>
        <w:footnoteReference w:id="12"/>
      </w:r>
      <w:r>
        <w:rPr>
          <w:noProof/>
        </w:rPr>
        <w:t>, a União Europeia aprovou a Convenção para o reforço da Comissão Interamericana do Atum Tropical estabelecida pela Convenção de 1949 entre os Estados Unidos da América e a República da Costa Rica (Convenção de Antígua), que criou a Comissão Interamericana do Atum Tropical (IATTC).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IATTC é o órgão responsável pela gestão e conservação dos recursos haliêuticos da área da Convenção de Antígua e foi criado por esta Convenção. Adota medidas de conservação e de gestão para assegurar a conservação a longo prazo e a exploração sustentável das unidades populacionais abrangidas pela Convenção. Essas medidas podem tornar-se vinculativas para a União.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Pela Decisão 2005/938/CE do Conselho</w:t>
      </w:r>
      <w:r>
        <w:rPr>
          <w:rStyle w:val="FootnoteReference"/>
          <w:noProof/>
        </w:rPr>
        <w:footnoteReference w:id="13"/>
      </w:r>
      <w:r>
        <w:rPr>
          <w:noProof/>
        </w:rPr>
        <w:t>, a União Europeia aprovou o Acordo sobre o Programa Internacional de Conservação dos Golfinhos (AIDCP), que criou a Reunião das Partes no Programa Internacional de Conservação dos Golfinhos. Ao abrigo do artigo XIV da Convenção de Antígua, a IATTC deve desempenhar um papel central na coordenação da execução do AIDCP e na execução das medidas adotadas no quadro deste. O secretariado do AIDCP é assegurado pela IATTC.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Reunião das Partes no AIDCP é o órgão criado pelo AIDCP para reduzir progressivamente para níveis próximos de zero a mortalidade acidental de golfinhos nas pescarias do atum com redes de cerco com retenida na área da Convenção de Antígua. A Reunião das Partes no AIDCP adota decisões destinadas a assegurar a sustentabilidade a longo prazo dos recursos marinhos vivos associados à pescaria do atum com redes de cerco com retenida na área da Convenção de Antígua. Essas medidas podem tornar-se vinculativas para a União.</w:t>
      </w:r>
    </w:p>
    <w:p>
      <w:pPr>
        <w:pStyle w:val="ManualConsidrant"/>
        <w:rPr>
          <w:noProof/>
        </w:rPr>
      </w:pPr>
      <w:r>
        <w:lastRenderedPageBreak/>
        <w:t>(5)</w:t>
      </w:r>
      <w:r>
        <w:tab/>
      </w:r>
      <w:r>
        <w:rPr>
          <w:noProof/>
        </w:rPr>
        <w:t>Nos termos do Regulamento (UE) n.º 1380/2013 do Parlamento Europeu e do Conselho</w:t>
      </w:r>
      <w:r>
        <w:rPr>
          <w:rStyle w:val="FootnoteReference"/>
          <w:noProof/>
        </w:rPr>
        <w:footnoteReference w:id="14"/>
      </w:r>
      <w:r>
        <w:rPr>
          <w:noProof/>
        </w:rPr>
        <w:t>, a União deve garantir a sustentabilidade ambiental a longo prazo das atividades da pesca e da aquicultura e a sua gestão de forma consentânea com os objetivos de obter benefícios económicos, sociais e de emprego e de contribuir para o abastecimento de produtos alimentares. O mesmo regulamento dispõe igualmente que a União deve aplicar a abordagem de precaução à gestão das pescas e visar a exploração dos recursos biológicos marinhos vivos de forma a restabelecer e manter as populações das espécies exploradas acima dos níveis suscetíveis de gerar o rendimento máximo sustentável. Dispõe ainda que a União deve adotar medidas de gestão e de conservação com base nos melhores pareceres científicos disponíveis e, para tal, apoiar o desenvolvimento de conhecimentos e pareceres científicos, eliminar progressivamente as devoluções, promover métodos que contribuam para uma pesca mais seletiva, para a prevenção e redução, na medida do possível, das capturas indesejadas, e para uma pesca de baixo impacto no ecossistema marinho e nos recursos haliêuticos. Além disso, o Regulamento (UE) n.º 1380/2013 dispõe expressamente que esses objetivos e princípios devem ser aplicados pela União na condução das suas relações externas neste domínio.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Decorre da Comunicação Conjunta da Alta Representante da União para os Negócios Estrangeiros e a Política de Segurança e da Comissão Europeia intitulada «</w:t>
      </w:r>
      <w:r>
        <w:rPr>
          <w:i/>
          <w:noProof/>
        </w:rPr>
        <w:t>Governação internacional dos oceanos: uma agenda para o futuro dos oceanos</w:t>
      </w:r>
      <w:r>
        <w:rPr>
          <w:noProof/>
        </w:rPr>
        <w:t>»</w:t>
      </w:r>
      <w:r>
        <w:rPr>
          <w:rStyle w:val="FootnoteReference"/>
          <w:noProof/>
        </w:rPr>
        <w:footnoteReference w:id="15"/>
      </w:r>
      <w:r>
        <w:rPr>
          <w:noProof/>
        </w:rPr>
        <w:t>, bem como das conclusões do Conselho sobre esta comunicação conjunta</w:t>
      </w:r>
      <w:r>
        <w:rPr>
          <w:rStyle w:val="FootnoteReference"/>
          <w:noProof/>
        </w:rPr>
        <w:footnoteReference w:id="16"/>
      </w:r>
      <w:r>
        <w:rPr>
          <w:noProof/>
        </w:rPr>
        <w:t>, que a promoção de medidas destinadas a apoiar e aumentar a eficácia das organizações regionais de gestão das pescas (ORGP) e, se for caso disso, melhorar a sua governação é fundamental para a ação da União nestes fóruns.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A Comunicação da Comissão ao Parlamento Europeu, ao Conselho, ao Comité Económico e Social Europeu e ao Comité das Regiões intitulada «</w:t>
      </w:r>
      <w:r>
        <w:rPr>
          <w:i/>
          <w:noProof/>
        </w:rPr>
        <w:t>Uma Estratégia Europeia para os Plásticos na Economia Circular</w:t>
      </w:r>
      <w:r>
        <w:rPr>
          <w:noProof/>
        </w:rPr>
        <w:t>»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menciona medidas concretas para reduzir a poluição causada por plásticos e a poluição marinha, bem como a perda e o abandono de artes de pesca no mar.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É conveniente estabelecer a posição a adotar em nome da União nas sessões da IATTC e da Reunião das Partes no AIDCP para o período 2019–2023, uma vez que as medidas de conservação e de execução da IATTC e as decisões da Reunião das Partes no AIDCP serão vinculativas para a União e poderão influenciar de forma determinante o conteúdo da legislação da União, nomeadamente os Regulamentos (CE) n.º 1005/2008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e (CE) n.º 1224/2009 do Conselho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e o Regulamento (UE) 2017/2403 do Parlamento Europeu e do Conselho</w:t>
      </w:r>
      <w:r>
        <w:rPr>
          <w:rStyle w:val="FootnoteReference"/>
          <w:noProof/>
        </w:rPr>
        <w:footnoteReference w:id="20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lastRenderedPageBreak/>
        <w:t>(9)</w:t>
      </w:r>
      <w:r>
        <w:tab/>
      </w:r>
      <w:r>
        <w:rPr>
          <w:noProof/>
        </w:rPr>
        <w:t>Atualmente, a posição a adotar em nome da União nas sessões da IATTC é estabelecida pela Decisão 10126/14 do Conselho</w:t>
      </w:r>
      <w:r>
        <w:rPr>
          <w:rStyle w:val="FootnoteReference"/>
          <w:noProof/>
        </w:rPr>
        <w:footnoteReference w:id="21"/>
      </w:r>
      <w:r>
        <w:rPr>
          <w:noProof/>
        </w:rPr>
        <w:t>. Convém revogar a Decisão 10126/14 e substituí-la por uma nova decisão para o período 2019–2023.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Atento o caráter evolutivo dos recursos haliêuticos na área da Convenção de Antígua e a consequente necessidade de a posição da União ter em conta novos elementos, incluindo novos dados científicos e outras informações pertinentes transmitidas antes ou durante as sessões da IATTC e da Reunião das Partes no AIDCP, é necessário definir procedimentos, em conformidade com o princípio da cooperação leal entre as instituições da União, consagrado no artigo 13.º, n.º 2, do Tratado da União Europeia, para a fixação anual dos elementos específicos da posição da União para o período 2019–2023,</w:t>
      </w:r>
    </w:p>
    <w:p>
      <w:pPr>
        <w:pStyle w:val="Formuledadoption"/>
        <w:rPr>
          <w:noProof/>
        </w:rPr>
      </w:pPr>
      <w:r>
        <w:rPr>
          <w:noProof/>
        </w:rPr>
        <w:t>ADOTOU A PRESENTE DECISÃO: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A posição a adotar, em nome da União, nas sessões da Comissão Interamericana do Atum Tropical (IATTC) e da Reunião das Partes no Acordo sobre o Programa Internacional de Conservação dos Golfinhos (AIDCP) é estabelecida no anexo I.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Os elementos específicos da posição a adotar pela União nas sessões da IATTC e da Reunião das Partes no AIDCP devem ser fixados anualmente em conformidade com o anexo II.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>A posição da União estabelecida no anexo I é apreciada e, se for caso disso, revista pelo Conselho, mediante proposta da Comissão, o mais tardar para a sessão anual da IATTC em 2024.</w:t>
      </w:r>
    </w:p>
    <w:p>
      <w:pPr>
        <w:pStyle w:val="Titrearticle"/>
        <w:rPr>
          <w:noProof/>
        </w:rPr>
      </w:pPr>
      <w:r>
        <w:rPr>
          <w:noProof/>
        </w:rPr>
        <w:t>Artigo 4.º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É revogada a Decisão 10126/14, de 23 de maio de 2014.</w:t>
      </w:r>
    </w:p>
    <w:p>
      <w:pPr>
        <w:pStyle w:val="Titrearticle"/>
        <w:rPr>
          <w:noProof/>
        </w:rPr>
      </w:pPr>
      <w:r>
        <w:rPr>
          <w:noProof/>
        </w:rPr>
        <w:t>Artigo 5.º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A destinatária da presente decisão é a Comissão.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Decisão 2006/539/CE do Conselho, de 22 de maio de 2006, relativa à celebração, em nome da Comunidade Europeia, da Convenção para o reforço da Comissão Interamericana do Atum Tropical estabelecida pela Convenção de 1949 entre os Estados Unidos da América e a República da Costa Rica (JO L 224 de 16.8.2006, p. 22).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Decisão 2005/938/CE do Conselho, de 8 de dezembro de 2005, relativa à aprovação em nome da Comunidade Europeia do Acordo sobre o Programa Internacional de Conservação dos Golfinhos (JO L 348 de 30.12.2005, p. 26).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Regulamento (UE) n.º 1380/2013 do Parlamento Europeu e do Conselho relativo à política comum das pescas, que altera os Regulamentos (CE) n.º 1954/2003 e (CE) n.º 1224/2009 do Conselho e revoga os Regulamentos (CE) n.º 2371/2002 e (CE) n.º 639/2004 do Conselho e a Decisão 2004/585/CE do Conselho (JO L 354 de 28.12.2013, p. 22).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COM(2011) 424 de 13.7.2011.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COM(2018) 28 final, de 16.1.2018.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JOIN(2016) 49 final, de 10.11.2016.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7348/1/17 REV 1, de 24.3.2017.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Acórdão do Tribunal de Justiça de 7 de outubro de 2014, Alemanha/Conselho, C-399/12, ECLI:EU:C:2014:2258, n.</w:t>
      </w:r>
      <w:r>
        <w:rPr>
          <w:vertAlign w:val="superscript"/>
        </w:rPr>
        <w:t>os</w:t>
      </w:r>
      <w:r>
        <w:t xml:space="preserve"> 61 a 64.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JO L 286 de 29.10.2008, p. 1.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JO L 343 de 22.12.2009, p. 1.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JO L 347 de 28.12.2017, p. 81.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Decisão do Conselho, de 22 de maio de 2006, relativa à celebração, em nome da Comunidade Europeia, da Convenção para o reforço da Comissão Interamericana do Atum Tropical estabelecida pela Convenção de 1949 entre os Estados Unidos da América e a República da Costa Rica (JO L 224 de 16.8.2006, p. 22).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Decisão 2005/938/CE do Conselho, de 8 de dezembro de 2005, relativa à aprovação em nome da Comunidade Europeia do Acordo sobre o Programa Internacional de Conservação dos Golfinhos (JO L 348 de 30.12.2005, p. 26).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Regulamento (UE) n.º 1380/2013 do Parlamento Europeu e do Conselho, de 11 de dezembro de 2013, relativo à política comum das pescas, que altera os Regulamentos (CE) n.º 1954/2003 e (CE) n.º 1224/2009 do Conselho e revoga os Regulamentos (CE) n.º 2371/2002 e (CE) n.º 639/2004 do Conselho e a Decisão 2004/585/CE do Conselho (JO L 354 de 28.12.2013, p. 22).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JOIN(2016) 49 final de 10.11.2016.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7348/1/17 REV 1 de 24.3.2017.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COM(2018) 28 final, de 16.1.2018.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Regulamento (CE) n.º 1005/2008 do Conselho, que estabelece um regime comunitário para prevenir, impedir e eliminar a pesca ilegal, não declarada e não regulamentada, que altera os Regulamentos (CEE) n.º 2847/93, (CE) n.º 1936/2001 e (CE) n.º 601/2004, e que revoga os Regulamentos (CE) n.º 1093/94 e (CE) n.º 1447/1999 (JO L 286 de 29.10.2008, p. 1).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Regulamento (CE) n.º 1224/2009 do Conselho, de 20 de novembro de 2009, que institui um regime da União de controlo a fim de assegurar o cumprimento das regras da política comum das pescas, altera os Regulamentos (CE) n.º 847/96, (CE) n.º 2371/2002, (CE) n.º 811/2004, (CE) n.º 768/2005, (CE) n.º 2115/2005, (CE) n.º 2166/2005, (CE) n.º 388/2006, (CE) n.º 509/2007, (CE) n.º 676/2007, (CE) n.º 1098/2007, (CE) n.º 1300/2008, (CE) n.º 1342/2008, e revoga os Regulamentos (CEE) n.º 2847/93, (CE) n.º 1627/94 e (CE) n.º 1966/2006 (JO L 343 de 22.12.2009, p. 1).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Regulamento (UE) 2017/2403 do Parlamento Europeu e do Conselho, de 12 de dezembro de 2017, relativo à gestão sustentável das frotas de pesca externas, e que revoga o Regulamento (CE) n.º 1006/2008 do Conselho (JO L 347 de 28.12.2017, p. 81).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Decisão do Conselho, de 23 de maio de 2014, relativa à posição a adotar, em nome da União Europeia, na Comissão Interamericana do Atum Tropical (IATTC).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E437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9898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D626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89A61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4E57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00E3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3404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1E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2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21"/>
  </w:num>
  <w:num w:numId="16">
    <w:abstractNumId w:val="11"/>
  </w:num>
  <w:num w:numId="17">
    <w:abstractNumId w:val="13"/>
  </w:num>
  <w:num w:numId="18">
    <w:abstractNumId w:val="9"/>
  </w:num>
  <w:num w:numId="19">
    <w:abstractNumId w:val="20"/>
  </w:num>
  <w:num w:numId="20">
    <w:abstractNumId w:val="8"/>
  </w:num>
  <w:num w:numId="21">
    <w:abstractNumId w:val="14"/>
  </w:num>
  <w:num w:numId="22">
    <w:abstractNumId w:val="17"/>
  </w:num>
  <w:num w:numId="23">
    <w:abstractNumId w:val="18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2"/>
  </w:num>
  <w:num w:numId="29">
    <w:abstractNumId w:val="21"/>
  </w:num>
  <w:num w:numId="30">
    <w:abstractNumId w:val="11"/>
  </w:num>
  <w:num w:numId="31">
    <w:abstractNumId w:val="13"/>
  </w:num>
  <w:num w:numId="32">
    <w:abstractNumId w:val="9"/>
  </w:num>
  <w:num w:numId="33">
    <w:abstractNumId w:val="20"/>
  </w:num>
  <w:num w:numId="34">
    <w:abstractNumId w:val="8"/>
  </w:num>
  <w:num w:numId="35">
    <w:abstractNumId w:val="14"/>
  </w:num>
  <w:num w:numId="36">
    <w:abstractNumId w:val="17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8 10:35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11849AE-3CC0-45CC-A4F8-93CFA3639DB7"/>
    <w:docVar w:name="LW_COVERPAGE_TYPE" w:val="1"/>
    <w:docVar w:name="LW_CROSSREFERENCE" w:val="&lt;UNUSED&gt;"/>
    <w:docVar w:name="LW_DocType" w:val="COM"/>
    <w:docVar w:name="LW_EMISSION" w:val="8.3.2019"/>
    <w:docVar w:name="LW_EMISSION_ISODATE" w:val="2019-03-08"/>
    <w:docVar w:name="LW_EMISSION_LOCATION" w:val="BRX"/>
    <w:docVar w:name="LW_EMISSION_PREFIX" w:val="Bruxelas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64"/>
    <w:docVar w:name="LW_REF.II.NEW.CP_YEAR" w:val="2019"/>
    <w:docVar w:name="LW_REF.INST.NEW" w:val="COM"/>
    <w:docVar w:name="LW_REF.INST.NEW_ADOPTED" w:val="final"/>
    <w:docVar w:name="LW_REF.INST.NEW_TEXT" w:val="(2019) 11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posição a tomar em nome da União Europeia na Comissão Interamericana do Atum Tropical e na Reunião das Partes no Acordo sobre o Programa Internacional de Conservação dos Golfinhos e que revoga a Decisão 10126/14"/>
    <w:docVar w:name="LW_TYPE.DOC.CP" w:val="DECISÃO DO CONSELHO"/>
    <w:docVar w:name="Stamp" w:val="\\dossiers.dgt.cec.eu.int\dossiers\MARE\MARE-2018-00541\MARE-2018-00541-00-06-EN-EDT-00.201812071101162664082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0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0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9830-FECF-4C19-BDC4-26FC655B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8</Pages>
  <Words>2461</Words>
  <Characters>12627</Characters>
  <Application>Microsoft Office Word</Application>
  <DocSecurity>0</DocSecurity>
  <Lines>225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2019-02-15T15:10:00Z</dcterms:created>
  <dcterms:modified xsi:type="dcterms:W3CDTF">2019-03-08T09:35:00Z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