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DF86CA3F-049E-4211-AA9A-393117D6B427" style="width:450.35pt;height:438.1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ANEXA I</w:t>
      </w:r>
    </w:p>
    <w:p>
      <w:pPr>
        <w:pStyle w:val="Header"/>
        <w:jc w:val="center"/>
        <w:rPr>
          <w:b/>
          <w:noProof/>
        </w:rPr>
      </w:pPr>
      <w:r>
        <w:rPr>
          <w:noProof/>
        </w:rPr>
        <w:t>Poziția care urmează să fie adoptată în numele Uniunii în cadrul Comisiei interamericane pentru tonul tropical (CITT) și al Reuniunii părților la Acordul privind programul internațional pentru conservarea delfinilor (AIDCP)</w:t>
      </w:r>
    </w:p>
    <w:p>
      <w:pPr>
        <w:pStyle w:val="Heading1"/>
        <w:numPr>
          <w:ilvl w:val="0"/>
          <w:numId w:val="5"/>
        </w:numPr>
        <w:rPr>
          <w:noProof/>
        </w:rPr>
      </w:pPr>
      <w:r>
        <w:rPr>
          <w:noProof/>
        </w:rPr>
        <w:t>PRINCIPII</w:t>
      </w:r>
    </w:p>
    <w:p>
      <w:pPr>
        <w:rPr>
          <w:noProof/>
        </w:rPr>
      </w:pPr>
      <w:r>
        <w:rPr>
          <w:noProof/>
        </w:rPr>
        <w:t>În cadrul CITT și al Reuniunii părților la AIDCP, Uniunea:</w:t>
      </w:r>
    </w:p>
    <w:p>
      <w:pPr>
        <w:pStyle w:val="Point0"/>
        <w:rPr>
          <w:noProof/>
        </w:rPr>
      </w:pPr>
      <w:r>
        <w:rPr>
          <w:noProof/>
        </w:rPr>
        <w:t xml:space="preserve">a) </w:t>
      </w:r>
      <w:r>
        <w:rPr>
          <w:noProof/>
        </w:rPr>
        <w:tab/>
        <w:t>acționează în conformitate cu obiectivele și principiile urmărite de Uniune în cadrul politicii comune în domeniul pescuitului (PCP), în special prin intermediul abordării precaute și al obiectivelor privind producția maximă sustenabilă menționate la articolul 2 alineatul (2) din Regulamentul (UE) nr. 1380/2013, pentru a promova implementarea unei abordări ecosistemice a gestionării pescuitului, pentru a evita și reduce, în măsura posibilului, capturile nedorite și pentru a elimina treptat practica aruncării înapoi în mare a capturilor, pentru a reduce la minimum impactul activităților de pescuit asupra ecosistemelor marine și a habitatelor lor, precum și pentru a garanta un nivel de trai decent persoanelor care depind de activitățile de pescuit, prin promovarea în Uniune a unui pescuit competitiv și viabil din punct de vedere economic, ținând seama de interesul consumatorilor;</w:t>
      </w:r>
    </w:p>
    <w:p>
      <w:pPr>
        <w:pStyle w:val="Point0"/>
        <w:rPr>
          <w:noProof/>
        </w:rPr>
      </w:pPr>
      <w:r>
        <w:rPr>
          <w:noProof/>
        </w:rPr>
        <w:t xml:space="preserve">b) </w:t>
      </w:r>
      <w:r>
        <w:rPr>
          <w:noProof/>
        </w:rPr>
        <w:tab/>
        <w:t>depune eforturi pentru implicarea corespunzătoare a părților interesate în faza de pregătire a măsurilor CITT și AIDCP și se asigură că măsurile adoptate în cadrul CITT și al Reuniunii părților la Acordul AIDCP sunt în conformitate cu Convenția de la Antigua și, respectiv, cu AIDCP;</w:t>
      </w:r>
    </w:p>
    <w:p>
      <w:pPr>
        <w:pStyle w:val="Point0"/>
        <w:rPr>
          <w:noProof/>
        </w:rPr>
      </w:pPr>
      <w:r>
        <w:rPr>
          <w:noProof/>
        </w:rPr>
        <w:t xml:space="preserve">c) </w:t>
      </w:r>
      <w:r>
        <w:rPr>
          <w:noProof/>
        </w:rPr>
        <w:tab/>
        <w:t>se asigură că măsurile adoptate în cadrul CITT și al Reuniunii părților la AIDCP respectă legislația internațională și, în special, prevederile Convenției ONU asupra dreptului mării din 1982, ale Acordului ONU din 1995 privind conservarea și gestionarea populațiilor transzonale și a stocurilor de pești mari migratori, ale Acordului din 1993 privind promovarea respectării măsurilor internaționale de conservare și gestionare de către navele de pescuit în marea liberă și ale acordului din 2009 al Organizației Națiunilor Unite pentru Alimentație și Agricultură privind măsurile de competența statului portului;</w:t>
      </w:r>
    </w:p>
    <w:p>
      <w:pPr>
        <w:pStyle w:val="Point0"/>
        <w:rPr>
          <w:noProof/>
        </w:rPr>
      </w:pPr>
      <w:r>
        <w:rPr>
          <w:noProof/>
        </w:rPr>
        <w:t xml:space="preserve">d) </w:t>
      </w:r>
      <w:r>
        <w:rPr>
          <w:noProof/>
        </w:rPr>
        <w:tab/>
        <w:t>promovează poziții coerente cu cele mai bune practici ale organizațiilor regionale de gestionare a pescuitului (ORGP) din aceeași zonă;</w:t>
      </w:r>
    </w:p>
    <w:p>
      <w:pPr>
        <w:pStyle w:val="Point0"/>
        <w:rPr>
          <w:noProof/>
          <w:szCs w:val="24"/>
        </w:rPr>
      </w:pPr>
      <w:r>
        <w:rPr>
          <w:noProof/>
        </w:rPr>
        <w:t xml:space="preserve">e) </w:t>
      </w:r>
      <w:r>
        <w:rPr>
          <w:noProof/>
        </w:rPr>
        <w:tab/>
        <w:t>urmărește să obțină coerență și sinergii cu politica urmărită de Uniune în cadrul relațiilor bilaterale cu țări terțe în domeniul pescuitului și asigură coerența cu celelalte politici ale sale, în special în materie de relații externe, ocuparea forței de muncă, mediu, comerț, dezvoltare, cercetare și inovare;</w:t>
      </w:r>
    </w:p>
    <w:p>
      <w:pPr>
        <w:pStyle w:val="Point0"/>
        <w:rPr>
          <w:noProof/>
          <w:szCs w:val="24"/>
        </w:rPr>
      </w:pPr>
      <w:r>
        <w:rPr>
          <w:noProof/>
        </w:rPr>
        <w:t>f)</w:t>
      </w:r>
      <w:r>
        <w:rPr>
          <w:noProof/>
        </w:rPr>
        <w:tab/>
        <w:t>garantează respectarea angajamentelor internaționale ale Uniunii;</w:t>
      </w:r>
    </w:p>
    <w:p>
      <w:pPr>
        <w:pStyle w:val="Point0"/>
        <w:rPr>
          <w:noProof/>
          <w:szCs w:val="24"/>
        </w:rPr>
      </w:pPr>
      <w:r>
        <w:rPr>
          <w:noProof/>
        </w:rPr>
        <w:t xml:space="preserve">g) </w:t>
      </w:r>
      <w:r>
        <w:rPr>
          <w:noProof/>
        </w:rPr>
        <w:tab/>
        <w:t>respectă concluziile Consiliului din 19 martie 2012 referitoare la Comunicarea Comisiei privind dimensiunea externă a politicii comune în domeniul pescuitului</w:t>
      </w:r>
      <w:r>
        <w:rPr>
          <w:rStyle w:val="FootnoteReference"/>
          <w:noProof/>
        </w:rPr>
        <w:footnoteReference w:id="1"/>
      </w:r>
      <w:r>
        <w:rPr>
          <w:noProof/>
        </w:rPr>
        <w:t>;</w:t>
      </w:r>
    </w:p>
    <w:p>
      <w:pPr>
        <w:pStyle w:val="Point0"/>
        <w:rPr>
          <w:noProof/>
          <w:szCs w:val="24"/>
        </w:rPr>
      </w:pPr>
      <w:r>
        <w:rPr>
          <w:noProof/>
        </w:rPr>
        <w:t xml:space="preserve">h) </w:t>
      </w:r>
      <w:r>
        <w:rPr>
          <w:noProof/>
        </w:rPr>
        <w:tab/>
        <w:t>urmărește să creeze condiții de concurență echitabile pentru flota Uniunii în zona Convenției CITT, pe baza acelorași principii și standarde ca cele aplicabile în temeiul dreptului Uniunii, și să promoveze punerea în aplicare uniformă a principiilor și standardelor respective;</w:t>
      </w:r>
    </w:p>
    <w:p>
      <w:pPr>
        <w:pStyle w:val="Point0"/>
        <w:rPr>
          <w:noProof/>
          <w:szCs w:val="24"/>
        </w:rPr>
      </w:pPr>
      <w:r>
        <w:rPr>
          <w:noProof/>
        </w:rPr>
        <w:lastRenderedPageBreak/>
        <w:t xml:space="preserve">i) </w:t>
      </w:r>
      <w:r>
        <w:rPr>
          <w:noProof/>
        </w:rPr>
        <w:tab/>
        <w:t>respectă Comunicarea comună a Înaltului Reprezentant al Uniunii pentru afaceri externe și politica de securitate și a Comisiei Europene intitulată „Guvernanța internațională a oceanelor:</w:t>
      </w:r>
      <w:r>
        <w:rPr>
          <w:i/>
          <w:noProof/>
        </w:rPr>
        <w:t xml:space="preserve"> </w:t>
      </w:r>
      <w:r>
        <w:rPr>
          <w:noProof/>
        </w:rPr>
        <w:t>o agendă pentru viitorul oceanelor”</w:t>
      </w:r>
      <w:r>
        <w:rPr>
          <w:rStyle w:val="FootnoteReference"/>
          <w:noProof/>
        </w:rPr>
        <w:footnoteReference w:id="2"/>
      </w:r>
      <w:r>
        <w:rPr>
          <w:noProof/>
        </w:rPr>
        <w:t>, precum și concluziile Consiliului cu privire la comunicarea comună respectivă</w:t>
      </w:r>
      <w:r>
        <w:rPr>
          <w:rStyle w:val="FootnoteReference"/>
          <w:noProof/>
        </w:rPr>
        <w:footnoteReference w:id="3"/>
      </w:r>
      <w:r>
        <w:rPr>
          <w:noProof/>
        </w:rPr>
        <w:t xml:space="preserve"> și promovează măsuri de sprijin și îmbunătățire a eficacității CITT și a AIDCP și, dacă este cazul, îmbunătățește guvernanța și performanța acestora (în special în ceea ce privește știința, conformitatea, transparența și procesul decizional), ca o contribuție la gestionarea durabilă a oceanelor în toate dimensiunile sale;</w:t>
      </w:r>
    </w:p>
    <w:p>
      <w:pPr>
        <w:pStyle w:val="Point0"/>
        <w:rPr>
          <w:noProof/>
          <w:szCs w:val="24"/>
        </w:rPr>
      </w:pPr>
      <w:r>
        <w:rPr>
          <w:noProof/>
        </w:rPr>
        <w:t xml:space="preserve">j) </w:t>
      </w:r>
      <w:r>
        <w:rPr>
          <w:noProof/>
        </w:rPr>
        <w:tab/>
        <w:t>promovează coordonarea între ORGP și convențiile maritime regionale și cooperarea cu organizațiile mondiale, după caz, în cadrul mandatelor lor, dacă este cazul;</w:t>
      </w:r>
    </w:p>
    <w:p>
      <w:pPr>
        <w:pStyle w:val="Point0"/>
        <w:rPr>
          <w:noProof/>
          <w:szCs w:val="24"/>
        </w:rPr>
      </w:pPr>
      <w:r>
        <w:rPr>
          <w:noProof/>
        </w:rPr>
        <w:t>k)</w:t>
      </w:r>
      <w:r>
        <w:rPr>
          <w:noProof/>
        </w:rPr>
        <w:tab/>
        <w:t>promovează coordonarea și cooperarea pe teme de interes comun cu alte ORGP din sectorul tonului, în special prin reactivarea așa-numitului proces Kobe pentru ORGP din sectorul tonului și extinderea acestuia la toate ORGP.</w:t>
      </w:r>
    </w:p>
    <w:p>
      <w:pPr>
        <w:pStyle w:val="Heading1"/>
        <w:rPr>
          <w:noProof/>
        </w:rPr>
      </w:pPr>
      <w:r>
        <w:rPr>
          <w:noProof/>
        </w:rPr>
        <w:t>ORIENTĂRI</w:t>
      </w:r>
    </w:p>
    <w:p>
      <w:pPr>
        <w:autoSpaceDE w:val="0"/>
        <w:autoSpaceDN w:val="0"/>
        <w:adjustRightInd w:val="0"/>
        <w:spacing w:before="0" w:after="0"/>
        <w:rPr>
          <w:noProof/>
        </w:rPr>
      </w:pPr>
      <w:r>
        <w:rPr>
          <w:noProof/>
        </w:rPr>
        <w:t>Uniunea depune eforturi, dacă este necesar, pentru a sprijini adoptarea de către CITT și AIDCP a următoarelor acțiuni:</w:t>
      </w:r>
    </w:p>
    <w:p>
      <w:pPr>
        <w:pStyle w:val="Point0"/>
        <w:rPr>
          <w:noProof/>
        </w:rPr>
      </w:pPr>
      <w:r>
        <w:rPr>
          <w:noProof/>
        </w:rPr>
        <w:t xml:space="preserve">a) </w:t>
      </w:r>
      <w:r>
        <w:rPr>
          <w:noProof/>
        </w:rPr>
        <w:tab/>
        <w:t>măsuri de conservare și de gestionare a resurselor piscicole din zona Convenției de la Antigua pe baza celor mai bune avize științifice disponibile, incluzând capturile totale admisibile (TAC) și cotele sau măsurile de reglementare a efortului de pescuit pentru resursele biologice marine vii care fac obiectul CITT, care să ducă la obținerea ratei de exploatare pentru producția maximă durabilă, în mod progresiv, printr-o creștere incrementală, cel târziu până în 2020. Dacă este necesar, măsurile de conservare și gestionare respective includ măsuri specifice pentru stocurile care suferă din cauza depășirii cotelor de pescuit, în vederea menținerii efortului de pescuit în conformitate cu posibilitățile de pescuit disponibile;</w:t>
      </w:r>
    </w:p>
    <w:p>
      <w:pPr>
        <w:pStyle w:val="Point0"/>
        <w:rPr>
          <w:noProof/>
        </w:rPr>
      </w:pPr>
      <w:r>
        <w:rPr>
          <w:noProof/>
        </w:rPr>
        <w:t xml:space="preserve">b) </w:t>
      </w:r>
      <w:r>
        <w:rPr>
          <w:noProof/>
        </w:rPr>
        <w:tab/>
        <w:t>măsuri de prevenire, descurajare și eliminare a pescuitului ilegal, nedeclarat și nereglementat (INN) în zona convenției, inclusiv introducerea navelor pe lista INN;</w:t>
      </w:r>
    </w:p>
    <w:p>
      <w:pPr>
        <w:pStyle w:val="Point0"/>
        <w:rPr>
          <w:noProof/>
        </w:rPr>
      </w:pPr>
      <w:r>
        <w:rPr>
          <w:noProof/>
        </w:rPr>
        <w:t xml:space="preserve">c) </w:t>
      </w:r>
      <w:r>
        <w:rPr>
          <w:noProof/>
        </w:rPr>
        <w:tab/>
        <w:t>măsuri de monitorizare, control și supraveghere în zona Convenției de la Antigua, inclusiv adoptarea măsurilor de competența statului portului și consolidarea Sistemului de monitorizare a navelor (VMS), pentru a asigura eficiența controlului și conformitatea cu măsurile adoptate în cadrul CITT;</w:t>
      </w:r>
    </w:p>
    <w:p>
      <w:pPr>
        <w:pStyle w:val="Point0"/>
        <w:rPr>
          <w:noProof/>
        </w:rPr>
      </w:pPr>
      <w:r>
        <w:rPr>
          <w:noProof/>
        </w:rPr>
        <w:t xml:space="preserve">d) </w:t>
      </w:r>
      <w:r>
        <w:rPr>
          <w:noProof/>
        </w:rPr>
        <w:tab/>
        <w:t>măsuri de reducere la minimum a impactului negativ al activităților de pescuit asupra biodiversității și ecosistemelor marine și asupra habitatelor acestora, inclusiv măsuri de reducere a poluării marine și de prevenire a evacuării materialelor plastice în mare, precum și de reducere a impactului materialelor plastice prezente în mare asupra biodiversității și a ecosistemelor marine, măsuri de protecție a ecosistemelor marine sensibile din zona Convenției de la Antigua, în conformitate cu rezoluțiile Adunării Generale a ONU, precum și măsuri de evitare și de reducere pe cât posibil a capturilor nedorite, inclusiv în special a speciilor marine vulnerabile, și de eliminare treptată a capturilor aruncate înapoi în mare;</w:t>
      </w:r>
    </w:p>
    <w:p>
      <w:pPr>
        <w:pStyle w:val="Point0"/>
        <w:rPr>
          <w:noProof/>
        </w:rPr>
      </w:pPr>
      <w:r>
        <w:rPr>
          <w:noProof/>
        </w:rPr>
        <w:t>e)</w:t>
      </w:r>
      <w:r>
        <w:rPr>
          <w:noProof/>
        </w:rPr>
        <w:tab/>
        <w:t xml:space="preserve">măsuri de gestionare a utilizării dispozitivelor de concentrare a peștilor (FAD), în special pentru îmbunătățirea colectării datelor, pentru cuantificarea exactă, urmărirea și monitorizarea utilizării FAD, pentru reducerea impactului asupra stocurilor </w:t>
      </w:r>
      <w:r>
        <w:rPr>
          <w:noProof/>
        </w:rPr>
        <w:lastRenderedPageBreak/>
        <w:t>vulnerabile de ton, pentru atenuarea efectelor potențiale ale acestora asupra speciilor vizate și a celor nevizate, precum și asupra ecosistemului și pentru reducerea contribuției la deșeurile marine;</w:t>
      </w:r>
    </w:p>
    <w:p>
      <w:pPr>
        <w:pStyle w:val="Point0"/>
        <w:rPr>
          <w:noProof/>
        </w:rPr>
      </w:pPr>
      <w:r>
        <w:rPr>
          <w:noProof/>
        </w:rPr>
        <w:t>f)</w:t>
      </w:r>
      <w:r>
        <w:rPr>
          <w:noProof/>
        </w:rPr>
        <w:tab/>
        <w:t>măsuri de reducere a impactului echipamentelor de pescuit abandonate, pierdute sau aruncate în alt mod în oceane și de facilitare a identificării și recuperării unor astfel de echipamente;</w:t>
      </w:r>
    </w:p>
    <w:p>
      <w:pPr>
        <w:pStyle w:val="Point0"/>
        <w:rPr>
          <w:noProof/>
        </w:rPr>
      </w:pPr>
      <w:r>
        <w:rPr>
          <w:noProof/>
        </w:rPr>
        <w:t xml:space="preserve">g) </w:t>
      </w:r>
      <w:r>
        <w:rPr>
          <w:noProof/>
        </w:rPr>
        <w:tab/>
        <w:t>măsuri de consolidare a sistemului de monitorizare a conformității în cadrul organizației și de asigurare a unei monitorizări eficace a acțiunilor întreprinse de statele de pavilion pentru a soluționa problemele de neconformitate;</w:t>
      </w:r>
    </w:p>
    <w:p>
      <w:pPr>
        <w:pStyle w:val="Point0"/>
        <w:rPr>
          <w:noProof/>
        </w:rPr>
      </w:pPr>
      <w:r>
        <w:rPr>
          <w:noProof/>
        </w:rPr>
        <w:t xml:space="preserve">h) </w:t>
      </w:r>
      <w:r>
        <w:rPr>
          <w:noProof/>
        </w:rPr>
        <w:tab/>
        <w:t>măsuri care vizează interzicerea activităților de pescuit desfășurate exclusiv în scopul recoltării înotătoarelor de rechin și care să prevadă ca toți rechinii să fie debarcați cu toate înotătoarele atașate în mod natural;</w:t>
      </w:r>
    </w:p>
    <w:p>
      <w:pPr>
        <w:pStyle w:val="Point0"/>
        <w:rPr>
          <w:noProof/>
        </w:rPr>
      </w:pPr>
      <w:r>
        <w:rPr>
          <w:noProof/>
        </w:rPr>
        <w:t>i)</w:t>
      </w:r>
      <w:r>
        <w:rPr>
          <w:noProof/>
        </w:rPr>
        <w:tab/>
        <w:t>abordări comune cu alte ORGP, după caz, în special cu cele implicate în gestionarea pescuitului în aceeași zonă;</w:t>
      </w:r>
    </w:p>
    <w:p>
      <w:pPr>
        <w:pStyle w:val="Point0"/>
        <w:rPr>
          <w:noProof/>
        </w:rPr>
      </w:pPr>
      <w:r>
        <w:rPr>
          <w:noProof/>
        </w:rPr>
        <w:t xml:space="preserve">j) </w:t>
      </w:r>
      <w:r>
        <w:rPr>
          <w:noProof/>
        </w:rPr>
        <w:tab/>
        <w:t xml:space="preserve">măsuri tehnice suplimentare pe baza consultanței oferite de organismele și grupurile de lucru ale CITT și ale Reuniunii părților la AIDCP; </w:t>
      </w:r>
    </w:p>
    <w:p>
      <w:pPr>
        <w:pStyle w:val="Point0"/>
        <w:rPr>
          <w:noProof/>
        </w:rPr>
      </w:pPr>
      <w:r>
        <w:rPr>
          <w:noProof/>
        </w:rPr>
        <w:t>k)</w:t>
      </w:r>
      <w:r>
        <w:rPr>
          <w:noProof/>
        </w:rPr>
        <w:tab/>
        <w:t>reducerea progresivă, până la niveluri apropiate de zero, a mortalității accidentale a delfinilor ca urmare a pescuitului de ton practicat cu plase-pungă și evaluări periodice ale populației de delfini;</w:t>
      </w:r>
    </w:p>
    <w:p>
      <w:pPr>
        <w:pStyle w:val="Point0"/>
        <w:rPr>
          <w:noProof/>
        </w:rPr>
      </w:pPr>
      <w:r>
        <w:rPr>
          <w:noProof/>
        </w:rPr>
        <w:t>l)</w:t>
      </w:r>
      <w:r>
        <w:rPr>
          <w:noProof/>
        </w:rPr>
        <w:tab/>
        <w:t xml:space="preserve">recomandări, acolo unde este relevant și în măsura permisă de documentele constitutive relevante, de încurajare a implementării Convenției privind munca în domeniul pescuitului a Organizației Internaționale a Muncii (OIM); </w:t>
      </w:r>
    </w:p>
    <w:p>
      <w:pPr>
        <w:pStyle w:val="Point0"/>
        <w:rPr>
          <w:noProof/>
        </w:rPr>
      </w:pPr>
      <w:r>
        <w:rPr>
          <w:noProof/>
        </w:rPr>
        <w:t>m)</w:t>
      </w:r>
      <w:r>
        <w:rPr>
          <w:noProof/>
        </w:rPr>
        <w:tab/>
        <w:t>măsuri pentru a asigura eficiența organizației, inclusiv efectuarea de evaluări periodice ale performanțelor organizației.</w:t>
      </w:r>
    </w:p>
    <w:p>
      <w:pPr>
        <w:pStyle w:val="Point0"/>
        <w:rPr>
          <w:noProof/>
        </w:rPr>
      </w:pPr>
    </w:p>
    <w:p>
      <w:pPr>
        <w:pStyle w:val="Point0"/>
        <w:rPr>
          <w:noProof/>
        </w:rPr>
      </w:pP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noProof/>
        </w:rPr>
      </w:pPr>
      <w:r>
        <w:rPr>
          <w:noProof/>
        </w:rPr>
        <w:lastRenderedPageBreak/>
        <w:t>ANEXA II</w:t>
      </w:r>
    </w:p>
    <w:p>
      <w:pPr>
        <w:jc w:val="center"/>
        <w:rPr>
          <w:rFonts w:eastAsia="Calibri"/>
          <w:b/>
          <w:noProof/>
          <w:szCs w:val="20"/>
          <w:u w:val="single"/>
        </w:rPr>
      </w:pPr>
      <w:r>
        <w:rPr>
          <w:b/>
          <w:noProof/>
          <w:u w:val="single"/>
        </w:rPr>
        <w:t xml:space="preserve">Precizarea anuală a poziției Uniunii care urmează să fie adoptată în cadrul reuniunilor Comisiei interamericane pentru tonul tropical și al Reuniunii părților la Acordul privind programul internațional pentru conservarea delfinilor </w:t>
      </w:r>
    </w:p>
    <w:p>
      <w:pPr>
        <w:jc w:val="center"/>
        <w:rPr>
          <w:rFonts w:eastAsia="Calibri"/>
          <w:b/>
          <w:i/>
          <w:strike/>
          <w:noProof/>
          <w:szCs w:val="20"/>
          <w:u w:val="single"/>
        </w:rPr>
      </w:pPr>
    </w:p>
    <w:p>
      <w:pPr>
        <w:rPr>
          <w:rFonts w:eastAsia="Calibri"/>
          <w:noProof/>
          <w:szCs w:val="20"/>
        </w:rPr>
      </w:pPr>
      <w:r>
        <w:rPr>
          <w:noProof/>
        </w:rPr>
        <w:t>Înaintea fiecărei reuniuni a CITT și a Reuniunii părților la AIDCP, atunci când organismele în cauză sunt invitate să adopte decizii cu efecte juridice asupra Uniunii, se iau măsurile necesare pentru ca poziția care urmează să fie exprimată în numele Uniunii să țină seama de cele mai recente informații științifice și de altă natură relevante transmise Comisiei, în conformitate cu principiile și orientările stabilite în anexa I.</w:t>
      </w:r>
    </w:p>
    <w:p>
      <w:pPr>
        <w:rPr>
          <w:rFonts w:eastAsia="Calibri"/>
          <w:noProof/>
          <w:szCs w:val="20"/>
        </w:rPr>
      </w:pPr>
      <w:r>
        <w:rPr>
          <w:noProof/>
        </w:rPr>
        <w:t>În acest sens și pe baza informațiilor menționate, Comisia transmite Consiliului sau grupurilor sale de pregătire, cu suficient timp înainte de fiecare reuniune a CITT sau de Reuniunea părților la AIDCP, un document scris care prezintă în detaliu propunerea de precizare a poziției Uniunii, în vederea dezbaterii și a adoptării detaliilor referitoare la poziția care urmează să fie exprimată în numele Uniunii.</w:t>
      </w:r>
    </w:p>
    <w:p>
      <w:pPr>
        <w:rPr>
          <w:rFonts w:eastAsia="Calibri"/>
          <w:noProof/>
          <w:szCs w:val="20"/>
        </w:rPr>
      </w:pPr>
      <w:r>
        <w:rPr>
          <w:noProof/>
        </w:rPr>
        <w:t>În cazul în care, în cadrul unei reuniuni a CITT sau a Reuniunii părților la AIDCP, nu se poate ajunge la un acord, inclusiv la fața locului, astfel încât poziția Uniunii să ia în considerare noile elemente, se sesizează Consiliul sau grupurile sale de pregătire cu privire la chestiunea respectivă.</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tab/>
        <w:t xml:space="preserve">7087/12 REV 1 ADD 1 COR 1. </w:t>
      </w:r>
    </w:p>
  </w:footnote>
  <w:footnote w:id="2">
    <w:p>
      <w:pPr>
        <w:pStyle w:val="FootnoteText"/>
      </w:pPr>
      <w:r>
        <w:rPr>
          <w:rStyle w:val="FootnoteReference"/>
        </w:rPr>
        <w:footnoteRef/>
      </w:r>
      <w:r>
        <w:tab/>
        <w:t>JOIN(2016) 49 final din 10.11.2016.</w:t>
      </w:r>
    </w:p>
  </w:footnote>
  <w:footnote w:id="3">
    <w:p>
      <w:pPr>
        <w:pStyle w:val="FootnoteText"/>
        <w:rPr>
          <w:lang w:val="en-US"/>
        </w:rPr>
      </w:pPr>
      <w:r>
        <w:rPr>
          <w:rStyle w:val="FootnoteReference"/>
        </w:rPr>
        <w:footnoteRef/>
      </w:r>
      <w:r>
        <w:tab/>
        <w:t>7348/1/17 REV 1 din 24.3.2017.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A06CBD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18671B2"/>
    <w:lvl w:ilvl="0">
      <w:start w:val="1"/>
      <w:numFmt w:val="decimal"/>
      <w:pStyle w:val="ListNumber3"/>
      <w:lvlText w:val="%1."/>
      <w:lvlJc w:val="left"/>
      <w:pPr>
        <w:tabs>
          <w:tab w:val="num" w:pos="926"/>
        </w:tabs>
        <w:ind w:left="926" w:hanging="360"/>
      </w:pPr>
    </w:lvl>
  </w:abstractNum>
  <w:abstractNum w:abstractNumId="2">
    <w:nsid w:val="FFFFFF7F"/>
    <w:multiLevelType w:val="singleLevel"/>
    <w:tmpl w:val="D54EBCAC"/>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84D0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62469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58668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E0019C6"/>
    <w:lvl w:ilvl="0">
      <w:start w:val="1"/>
      <w:numFmt w:val="decimal"/>
      <w:pStyle w:val="ListNumber"/>
      <w:lvlText w:val="%1."/>
      <w:lvlJc w:val="left"/>
      <w:pPr>
        <w:tabs>
          <w:tab w:val="num" w:pos="360"/>
        </w:tabs>
        <w:ind w:left="360" w:hanging="360"/>
      </w:pPr>
    </w:lvl>
  </w:abstractNum>
  <w:abstractNum w:abstractNumId="7">
    <w:nsid w:val="FFFFFF89"/>
    <w:multiLevelType w:val="singleLevel"/>
    <w:tmpl w:val="1BF49E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8 10:38:0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0"/>
    <w:docVar w:name="DQCResult_UnknownFonts" w:val="0;0"/>
    <w:docVar w:name="DQCResult_UnknownStyles" w:val="0;0"/>
    <w:docVar w:name="DQCStatus" w:val="Green"/>
    <w:docVar w:name="DQCVersion" w:val="3"/>
    <w:docVar w:name="DQCWithWarnings" w:val="0"/>
    <w:docVar w:name="LW_ACCOMPAGNANT" w:val="la"/>
    <w:docVar w:name="LW_ACCOMPAGNANT.CP" w:val="la"/>
    <w:docVar w:name="LW_ANNEX_NBR_FIRST" w:val="1"/>
    <w:docVar w:name="LW_ANNEX_NBR_LAST" w:val="2"/>
    <w:docVar w:name="LW_ANNEX_UNIQUE" w:val="0"/>
    <w:docVar w:name="LW_CORRIGENDUM" w:val="&lt;UNUSED&gt;"/>
    <w:docVar w:name="LW_COVERPAGE_EXISTS" w:val="True"/>
    <w:docVar w:name="LW_COVERPAGE_GUID" w:val="DF86CA3F-049E-4211-AA9A-393117D6B427"/>
    <w:docVar w:name="LW_COVERPAGE_TYPE" w:val="1"/>
    <w:docVar w:name="LW_CROSSREFERENCE" w:val="&lt;UNUSED&gt;"/>
    <w:docVar w:name="LW_DocType" w:val="ANNEX"/>
    <w:docVar w:name="LW_EMISSION" w:val="8.3.2019"/>
    <w:docVar w:name="LW_EMISSION_ISODATE" w:val="2019-03-08"/>
    <w:docVar w:name="LW_EMISSION_LOCATION" w:val="BRX"/>
    <w:docVar w:name="LW_EMISSION_PREFIX" w:val="Bruxelles, "/>
    <w:docVar w:name="LW_EMISSION_SUFFIX" w:val="&lt;EMPTY&gt;"/>
    <w:docVar w:name="LW_ID_DOCSTRUCTURE" w:val="COM/ANNEX"/>
    <w:docVar w:name="LW_ID_DOCTYPE" w:val="SG-017"/>
    <w:docVar w:name="LW_LANGUE" w:val="RO"/>
    <w:docVar w:name="LW_LEVEL_OF_SENSITIVITY" w:val="Standard treatment"/>
    <w:docVar w:name="LW_NOM.INST" w:val="COMISIA EUROPEAN\u258?"/>
    <w:docVar w:name="LW_NOM.INST_JOINTDOC" w:val="&lt;EMPTY&gt;"/>
    <w:docVar w:name="LW_OBJETACTEPRINCIPAL" w:val="privind pozi\u539?ia care urmeaz\u259? s\u259? fie adoptat\u259? în numele Uniunii Europene în cadrul Comisiei interamericane pentru tonul tropical \u537?i al Reuniunii p\u259?r\u539?ilor la Acordul privind programul interna\u539?ional pentru conservarea delfinilor \u537?i de abrogare a Deciziei 10126/14_x000b_"/>
    <w:docVar w:name="LW_OBJETACTEPRINCIPAL.CP" w:val="privind pozi\u539?ia care urmeaz\u259? s\u259? fie adoptat\u259? în numele Uniunii Europene în cadrul Comisiei interamericane pentru tonul tropical \u537?i al Reuniunii p\u259?r\u539?ilor la Acordul privind programul interna\u539?ional pentru conservarea delfinilor \u537?i de abrogare a Deciziei 10126/14_x000b_"/>
    <w:docVar w:name="LW_PART_NBR" w:val="&lt;UNUSED&gt;"/>
    <w:docVar w:name="LW_PART_NBR_TOTAL" w:val="&lt;UNUSED&gt;"/>
    <w:docVar w:name="LW_REF.INST.NEW" w:val="COM"/>
    <w:docVar w:name="LW_REF.INST.NEW_ADOPTED" w:val="final"/>
    <w:docVar w:name="LW_REF.INST.NEW_TEXT" w:val="(2019) 1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EXE"/>
    <w:docVar w:name="LW_TYPE.DOC.CP" w:val="ANEXE"/>
    <w:docVar w:name="LW_TYPEACTEPRINCIPAL" w:val="Propunerea de decizie a Consiliului_x000b_"/>
    <w:docVar w:name="LW_TYPEACTEPRINCIPAL.CP" w:val="Propunerea de decizie a Consiliului_x000b_"/>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5</Pages>
  <Words>1366</Words>
  <Characters>8118</Characters>
  <Application>Microsoft Office Word</Application>
  <DocSecurity>0</DocSecurity>
  <Lines>135</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2019-02-28T10:53:00Z</dcterms:created>
  <dcterms:modified xsi:type="dcterms:W3CDTF">2019-03-08T09:38:00Z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COM/ANNEX</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2</vt:lpwstr>
  </property>
  <property fmtid="{D5CDD505-2E9C-101B-9397-08002B2CF9AE}" pid="7" name="Unique annex">
    <vt:lpwstr>0</vt:lpwstr>
  </property>
  <property fmtid="{D5CDD505-2E9C-101B-9397-08002B2CF9AE}" pid="8" name="Part">
    <vt:lpwstr>&lt;UNUSED&gt;</vt:lpwstr>
  </property>
  <property fmtid="{D5CDD505-2E9C-101B-9397-08002B2CF9AE}" pid="9" name="Total parts">
    <vt:lpwstr>&lt;UNUSED&gt;</vt:lpwstr>
  </property>
  <property fmtid="{D5CDD505-2E9C-101B-9397-08002B2CF9AE}" pid="10" name="LWTemplateID">
    <vt:lpwstr>SG-017</vt:lpwstr>
  </property>
  <property fmtid="{D5CDD505-2E9C-101B-9397-08002B2CF9AE}" pid="11" name="DQCStatus">
    <vt:lpwstr>Green (DQC version 03)</vt:lpwstr>
  </property>
</Properties>
</file>