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E1385D5-F973-4191-A3CA-36832F5B9D8B" style="width:450.5pt;height:379.1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rFonts w:eastAsia="Arial Unicode MS"/>
          <w:noProof/>
        </w:rPr>
      </w:pPr>
      <w:r>
        <w:t>1.</w:t>
      </w:r>
      <w:r>
        <w:tab/>
      </w:r>
      <w:r>
        <w:rPr>
          <w:noProof/>
        </w:rPr>
        <w:t>Αντικείμενο της πρότασης</w:t>
      </w:r>
    </w:p>
    <w:p>
      <w:pPr>
        <w:autoSpaceDE w:val="0"/>
        <w:autoSpaceDN w:val="0"/>
        <w:adjustRightInd w:val="0"/>
        <w:spacing w:before="0" w:after="0"/>
        <w:rPr>
          <w:rFonts w:ascii="TimesNewRomanPSMT" w:hAnsi="TimesNewRomanPSMT" w:cs="TimesNewRomanPSMT"/>
          <w:noProof/>
          <w:szCs w:val="24"/>
        </w:rPr>
      </w:pPr>
      <w:r>
        <w:rPr>
          <w:noProof/>
        </w:rPr>
        <w:t>Η παρούσα πρόταση αφορά την απόφαση για τον καθορισμό της θέσης που πρέπει να ληφθεί εξ ονόματος της Ευρωπαϊκής Ένωσης στις συνεδριάσεις της ετήσιας διάσκεψης των συμβαλλόμενων μερών της σύμβασης για τη διατήρηση και διαχείριση των αποθεμάτων μπακαλιάρου της Αλάσκας στην κεντρική Βερίγγειο Θάλασσα, για την περίοδο 2019-2023, σε σχέση με την προβλεπόμενη έγκριση των μέτρων διατήρησης και διαχείρισης.</w:t>
      </w:r>
    </w:p>
    <w:p>
      <w:pPr>
        <w:pStyle w:val="ManualHeading1"/>
        <w:rPr>
          <w:noProof/>
        </w:rPr>
      </w:pPr>
      <w:r>
        <w:t>2.</w:t>
      </w:r>
      <w:r>
        <w:tab/>
      </w:r>
      <w:r>
        <w:rPr>
          <w:noProof/>
        </w:rPr>
        <w:t>Πλαίσιο της πρότασης</w:t>
      </w:r>
    </w:p>
    <w:p>
      <w:pPr>
        <w:pStyle w:val="ManualHeading2"/>
        <w:rPr>
          <w:noProof/>
        </w:rPr>
      </w:pPr>
      <w:r>
        <w:t>2.1.</w:t>
      </w:r>
      <w:r>
        <w:tab/>
      </w:r>
      <w:r>
        <w:rPr>
          <w:noProof/>
        </w:rPr>
        <w:t xml:space="preserve">Σύμβαση για τη διατήρηση και διαχείριση των αποθεμάτων μπακαλιάρου της Αλάσκας στην κεντρική Βερίγγειο Θάλασσα  </w:t>
      </w:r>
    </w:p>
    <w:p>
      <w:pPr>
        <w:rPr>
          <w:noProof/>
        </w:rPr>
      </w:pPr>
      <w:r>
        <w:rPr>
          <w:noProof/>
        </w:rPr>
        <w:t>Η σύμβαση για τη διατήρηση και διαχείριση των αποθεμάτων μπακαλιάρου της Αλάσκας στην κεντρική Βερίγγειο Θάλασσα (σύμβαση της Βεριγγείου Θαλάσσης) αποσκοπεί, με τη σύσταση της ετήσιας διάσκεψης των συμβαλλόμενων μερών της σύμβασης, να διασφαλίσει τη μακροπρόθεσμη διατήρηση και βιώσιμη χρήση των αποθεμάτων μπακαλιάρου Αλάσκας στην περιοχή της σύμβασης. Η σύμβαση άρχισε να ισχύει στις 8 Δεκεμβρίου 1995.</w:t>
      </w:r>
    </w:p>
    <w:p>
      <w:pPr>
        <w:rPr>
          <w:rFonts w:asciiTheme="majorBidi" w:hAnsiTheme="majorBidi" w:cstheme="majorBidi"/>
          <w:noProof/>
          <w:szCs w:val="24"/>
        </w:rPr>
      </w:pPr>
      <w:r>
        <w:rPr>
          <w:rFonts w:asciiTheme="majorBidi" w:hAnsiTheme="majorBidi"/>
          <w:noProof/>
          <w:szCs w:val="24"/>
        </w:rPr>
        <w:t>Η Δημοκρατία της Πολωνίας είναι συμβαλλόμενο μέρος της σύμβασης της Βεριγγείου Θαλάσσης. Η Ένωση δεν είναι συμβαλλόμενο μέρος της σύμβασης. Σύμφωνα με το άρθρο 6 παράγραφος 9 της πράξης προσχώρησης</w:t>
      </w:r>
      <w:r>
        <w:rPr>
          <w:rStyle w:val="FootnoteReference"/>
          <w:noProof/>
        </w:rPr>
        <w:footnoteReference w:id="1"/>
      </w:r>
      <w:r>
        <w:rPr>
          <w:rFonts w:asciiTheme="majorBidi" w:hAnsiTheme="majorBidi"/>
          <w:noProof/>
          <w:szCs w:val="24"/>
        </w:rPr>
        <w:t>, η διαχείριση των αλιευτικών συμφωνιών που έχουν συνάψει τα κράτη μέλη με τρίτες χώρες διενεργείται από την Ένωση, η οποία πρέπει να εφαρμόζει τις αποφάσεις που λαμβάνονται στο πλαίσιο των συμφωνιών.</w:t>
      </w:r>
    </w:p>
    <w:p>
      <w:pPr>
        <w:rPr>
          <w:noProof/>
        </w:rPr>
      </w:pPr>
      <w:r>
        <w:rPr>
          <w:noProof/>
        </w:rPr>
        <w:t xml:space="preserve">Η απόφαση 7277/16 του Συμβουλίου, της 11ης Απριλίου 2016, εξουσιοδοτεί την Πολωνία να διαπραγματευτεί, προς το συμφέρον της Ένωσης, την τροποποίηση της σύμβασης της Βεριγγείου Θαλάσσης με σκοπό  να καταστεί η Ευρωπαϊκή Ένωση συμβαλλόμενο μέρος της.  Η εντολή αυτή βρίσκεται επί του παρόντος στο στάδιο της εκτέλεσης. Εξυπακούεται ότι, κατόπιν της αποδοχής της Ένωσης ως πλήρους συμβαλλόμενου μέρους της Σύμβασης της Βεριγγείου Θαλάσσης, η Πολωνία θα παραιτηθεί από την ιδιότητα του μέλους.  </w:t>
      </w:r>
    </w:p>
    <w:p>
      <w:pPr>
        <w:pStyle w:val="ManualHeading2"/>
        <w:rPr>
          <w:noProof/>
        </w:rPr>
      </w:pPr>
      <w:r>
        <w:t>2.2.</w:t>
      </w:r>
      <w:r>
        <w:tab/>
      </w:r>
      <w:r>
        <w:rPr>
          <w:noProof/>
        </w:rPr>
        <w:t>Η ετήσια διάσκεψη των συμβαλλόμενων μερών</w:t>
      </w:r>
    </w:p>
    <w:p>
      <w:pPr>
        <w:rPr>
          <w:noProof/>
        </w:rPr>
      </w:pPr>
      <w:r>
        <w:rPr>
          <w:noProof/>
        </w:rPr>
        <w:t>Η ετήσια διάσκεψη των συμβαλλόμενων μερών είναι το όργανο που συστάθηκε από τη σύμβαση της Βεριγγείου Θαλάσσης με αρμοδιότητα τη διαχείριση και τη διατήρηση των αποθεμάτων μπακαλιάρου Αλάσκας στην περιοχή της σύμβασης. Εκδίδει μέτρα διατήρησης και διαχείρισης για τη διασφάλιση της μακροπρόθεσμης διατήρησης και της βιώσιμης χρήσης των αλιευτικών πόρων που εμπίπτουν στην αρμοδιότητά της.</w:t>
      </w:r>
    </w:p>
    <w:p>
      <w:pPr>
        <w:rPr>
          <w:rFonts w:eastAsia="Arial Unicode MS"/>
          <w:noProof/>
        </w:rPr>
      </w:pPr>
      <w:r>
        <w:rPr>
          <w:noProof/>
        </w:rPr>
        <w:t>Ως μέλος της ετήσιας διάσκεψης των συμβαλλόμενων μερών, η Πολωνία έχει δικαιώματα συμμετοχής και ψήφου. Δεδομένου ότι η Ένωση δεν είναι συμβαλλόμενο μέρος της σύμβασης, εκπροσωπείται στην ετήσια διάσκεψη των συμβαλλόμενων μερών από την Πολωνία. Η ετήσια διάσκεψη των συμβαλλόμενων μερών λαμβάνει τις αποφάσεις της με συναίνεση.</w:t>
      </w:r>
    </w:p>
    <w:p>
      <w:pPr>
        <w:pStyle w:val="ManualHeading2"/>
        <w:rPr>
          <w:noProof/>
        </w:rPr>
      </w:pPr>
      <w:r>
        <w:lastRenderedPageBreak/>
        <w:t>2.3.</w:t>
      </w:r>
      <w:r>
        <w:tab/>
      </w:r>
      <w:r>
        <w:rPr>
          <w:noProof/>
        </w:rPr>
        <w:t>Αποφάσεις της ετήσιας διάσκεψης των συμβαλλόμενων μερών</w:t>
      </w:r>
    </w:p>
    <w:p>
      <w:pPr>
        <w:rPr>
          <w:rFonts w:eastAsia="Arial Unicode MS"/>
          <w:noProof/>
        </w:rPr>
      </w:pPr>
      <w:r>
        <w:rPr>
          <w:noProof/>
        </w:rPr>
        <w:t>Η  ετήσια διάσκεψη των συμβαλλόμενων μερών έχει την εξουσία να εκδίδει μέτρα για την αλιεία που εμπίπτει στην αρμοδιότητά της, τα οποία είναι δεσμευτικά για τα συμβαλλόμενα μέρη.</w:t>
      </w:r>
    </w:p>
    <w:p>
      <w:pPr>
        <w:rPr>
          <w:noProof/>
        </w:rPr>
      </w:pPr>
      <w:r>
        <w:rPr>
          <w:noProof/>
        </w:rPr>
        <w:t>Τα μέτρα που συμφωνούνται από τα συμβαλλόμενα μέρη αρχίζουν να ισχύουν αμέσως μετά την κοινοποίησή τους στα συμβαλλόμενα μέρη.</w:t>
      </w:r>
    </w:p>
    <w:p>
      <w:pPr>
        <w:pStyle w:val="ManualHeading1"/>
        <w:rPr>
          <w:rFonts w:eastAsia="Arial Unicode MS"/>
          <w:noProof/>
        </w:rPr>
      </w:pPr>
      <w:r>
        <w:t>3.</w:t>
      </w:r>
      <w:r>
        <w:tab/>
      </w:r>
      <w:r>
        <w:rPr>
          <w:noProof/>
        </w:rPr>
        <w:t>Θέση που πρέπει να ληφθεί εξ ονόματος της Ένωσης</w:t>
      </w:r>
    </w:p>
    <w:p>
      <w:pPr>
        <w:rPr>
          <w:rFonts w:eastAsia="Times New Roman"/>
          <w:noProof/>
        </w:rPr>
      </w:pPr>
      <w:r>
        <w:rPr>
          <w:noProof/>
        </w:rPr>
        <w:t>Η θέση που πρέπει να ληφθεί εξ ονόματος της Ένωσης στις ετήσιες συνεδριάσεις των περιφερειακών οργανώσεων διαχείρισης της αλιείας (ΠΟΔΑ) καθορίζεται επί του παρόντος σύμφωνα με προσέγγιση δύο σταδίων. Οι κατευθυντήριες αρχές και οι προσανατολισμοί της θέσης της Ένωσης καθορίζονται σε πολυετή βάση με απόφαση του Συμβουλίου και η θέση αυτή προσαρμόζεται στη συνέχεια για κάθε ετήσια συνεδρίαση με ανεπίσημα έγγραφα της Επιτροπής που υποβάλλονται προς συζήτηση στην ομάδα εργασίας του Συμβουλίου.</w:t>
      </w:r>
    </w:p>
    <w:p>
      <w:pPr>
        <w:rPr>
          <w:rFonts w:eastAsia="Times New Roman"/>
          <w:noProof/>
        </w:rPr>
      </w:pPr>
      <w:r>
        <w:rPr>
          <w:noProof/>
        </w:rPr>
        <w:t>Όσον αφορά την ετήσια διάσκεψη των συμβαλλόμενων μερών, η προσέγγιση αυτή υλοποιείται με την απόφαση 9782/17 του Συμβουλίου, της 30ής Μαΐου 2017, η οποία καθορίζει τη θέση της Ένωσης στο πλαίσιο της σύμβασης της Βεριγγείου Θαλάσσης για την περίοδο 2017-2021. Η εν λόγω απόφαση περιλαμβάνει γενικές αρχές και προσανατολισμούς, αλλά λαμβάνει επίσης υπόψη, στο μέτρο του δυνατού, τις ιδιαιτερότητες της σύμβασης της Βεριγγείου Θαλάσσης. Επιπλέον, καθορίζει τη συνήθη διαδικασία για τον καθορισμό της θέσης της Ένωσης σε ετήσια βάση, όπως ζητήθηκε από τα κράτη μέλη.</w:t>
      </w:r>
    </w:p>
    <w:p>
      <w:pPr>
        <w:rPr>
          <w:rFonts w:eastAsia="Times New Roman"/>
          <w:noProof/>
        </w:rPr>
      </w:pPr>
      <w:r>
        <w:rPr>
          <w:noProof/>
        </w:rPr>
        <w:t>Η απόφαση 9782/17 δεν προβλέπει την αναθεώρηση της θέσης της Ένωσης στο πλαίσιο της ετήσιας διάσκεψης των συμβαλλόμενων μερών πριν από την ετήσια συνεδρίαση του 2022. Ωστόσο, η συντριπτική πλειονότητα των αποφάσεων του Συμβουλίου που καθορίζουν τη θέση της Ένωσης στις διάφορες ΠΟΔΑ στις οποίες είναι συμβαλλόμενο μέρος πρόκειται να επανεξεταστούν πριν από τις ετήσιες συνεδριάσεις των αντίστοιχων ΠΟΔΑ του 2019. Ως εκ τούτου, για την εξασφάλιση της συνοχής μεταξύ των θέσεων της Ένωσης σε όλες τις ΠΟΔΑ και για τον συγχρονισμό των χρονοδιαγραμμάτων για τις διαδικασίες αναθεώρησης, είναι σκόπιμο να επισπευστεί η αναθεώρηση της θέσης της Ένωσης στην ετήσια διάσκεψη των συμβαλλόμενων μερών για την περίοδο 2019</w:t>
      </w:r>
      <w:r>
        <w:rPr>
          <w:noProof/>
        </w:rPr>
        <w:noBreakHyphen/>
        <w:t>2023 και να αντικατασταθεί η απόφαση 9782/17.</w:t>
      </w:r>
    </w:p>
    <w:p>
      <w:pPr>
        <w:rPr>
          <w:rFonts w:eastAsia="Times New Roman"/>
          <w:noProof/>
        </w:rPr>
      </w:pPr>
      <w:r>
        <w:rPr>
          <w:noProof/>
        </w:rPr>
        <w:t>Η απόφαση 9782/17 ενσωμάτωσε τις αρχές και τους προσανατολισμούς της νέας κοινής αλιευτικής πολιτικής (ΚΑΠ), που καθορίζονται στον κανονισμό (ΕΕ) αριθ. 1380/2013 του Ευρωπαϊκού Κοινοβουλίου και του Συμβουλίου</w:t>
      </w:r>
      <w:r>
        <w:rPr>
          <w:rStyle w:val="FootnoteReference"/>
          <w:noProof/>
        </w:rPr>
        <w:footnoteReference w:id="2"/>
      </w:r>
      <w:r>
        <w:rPr>
          <w:noProof/>
        </w:rPr>
        <w:t>, λαμβανομένων επίσης υπόψη των στόχων που έθεσε η ανακοίνωση της Επιτροπής σχετικά με την εξωτερική διάσταση της ΚΑΠ</w:t>
      </w:r>
      <w:r>
        <w:rPr>
          <w:rStyle w:val="FootnoteReference"/>
          <w:noProof/>
        </w:rPr>
        <w:footnoteReference w:id="3"/>
      </w:r>
      <w:r>
        <w:rPr>
          <w:noProof/>
        </w:rPr>
        <w:t>. Επιπλέον, προσάρμοσε τη θέση της Ένωσης στη Συνθήκη της Λισαβόνας.</w:t>
      </w:r>
    </w:p>
    <w:p>
      <w:pPr>
        <w:rPr>
          <w:noProof/>
        </w:rPr>
      </w:pPr>
      <w:r>
        <w:rPr>
          <w:noProof/>
        </w:rPr>
        <w:t xml:space="preserve">Η τρέχουσα αναθεώρηση λαμβάνει υπόψη, σε συνδυασμό με τις επιπτώσεις της αλιείας, την ανακοίνωση της Επιτροπής προς το Ευρωπαϊκό Κοινοβούλιο, το Συμβούλιο, την Ευρωπαϊκή Οικονομική και Κοινωνική Επιτροπή και την Επιτροπή των Περιφερειών, με τίτλο </w:t>
      </w:r>
      <w:r>
        <w:rPr>
          <w:i/>
          <w:noProof/>
        </w:rPr>
        <w:t>Ευρωπαϊκή στρατηγική για τις πλαστικές ύλες σε μια κυκλική οικονομία</w:t>
      </w:r>
      <w:r>
        <w:rPr>
          <w:rStyle w:val="FootnoteReference"/>
          <w:noProof/>
        </w:rPr>
        <w:footnoteReference w:id="4"/>
      </w:r>
      <w:r>
        <w:rPr>
          <w:noProof/>
        </w:rPr>
        <w:t xml:space="preserve">, την κοινή </w:t>
      </w:r>
      <w:r>
        <w:rPr>
          <w:noProof/>
        </w:rPr>
        <w:lastRenderedPageBreak/>
        <w:t xml:space="preserve">ανακοίνωση της Ύπατης Εκπροσώπου της Ένωσης για Θέματα Εξωτερικής Πολιτικής και Πολιτικής Ασφαλείας και της Ευρωπαϊκής Επιτροπής με τίτλο </w:t>
      </w:r>
      <w:r>
        <w:rPr>
          <w:i/>
          <w:noProof/>
        </w:rPr>
        <w:t>Διεθνής διακυβέρνηση των ωκεανών: ένα θεματολόγιο για το μέλλον των ωκεανών μας</w:t>
      </w:r>
      <w:r>
        <w:rPr>
          <w:rStyle w:val="FootnoteReference"/>
          <w:noProof/>
        </w:rPr>
        <w:footnoteReference w:id="5"/>
      </w:r>
      <w:r>
        <w:rPr>
          <w:noProof/>
        </w:rPr>
        <w:t xml:space="preserve"> και τα συμπεράσματα του Συμβουλίου σχετικά με την εν λόγω κοινή ανακοίνωση</w:t>
      </w:r>
      <w:r>
        <w:rPr>
          <w:rStyle w:val="FootnoteReference"/>
          <w:noProof/>
        </w:rPr>
        <w:footnoteReference w:id="6"/>
      </w:r>
      <w:r>
        <w:rPr>
          <w:noProof/>
        </w:rPr>
        <w:t>.</w:t>
      </w:r>
    </w:p>
    <w:p>
      <w:pPr>
        <w:pStyle w:val="ManualHeading1"/>
        <w:rPr>
          <w:noProof/>
        </w:rPr>
      </w:pPr>
      <w:r>
        <w:t>4.</w:t>
      </w:r>
      <w:r>
        <w:tab/>
      </w:r>
      <w:r>
        <w:rPr>
          <w:noProof/>
        </w:rPr>
        <w:t>Νομική βάση</w:t>
      </w:r>
    </w:p>
    <w:p>
      <w:pPr>
        <w:pStyle w:val="ManualHeading2"/>
        <w:rPr>
          <w:noProof/>
        </w:rPr>
      </w:pPr>
      <w:r>
        <w:t>4.1.</w:t>
      </w:r>
      <w:r>
        <w:tab/>
      </w:r>
      <w:r>
        <w:rPr>
          <w:noProof/>
        </w:rPr>
        <w:t>Διαδικαστική νομική βάση</w:t>
      </w:r>
    </w:p>
    <w:p>
      <w:pPr>
        <w:pStyle w:val="ManualHeading3"/>
        <w:rPr>
          <w:noProof/>
        </w:rPr>
      </w:pPr>
      <w:r>
        <w:t>4.1.1.</w:t>
      </w:r>
      <w:r>
        <w:tab/>
      </w:r>
      <w:r>
        <w:rPr>
          <w:noProof/>
        </w:rPr>
        <w:t>Αρχές</w:t>
      </w:r>
    </w:p>
    <w:p>
      <w:pPr>
        <w:rPr>
          <w:noProof/>
        </w:rPr>
      </w:pPr>
      <w:r>
        <w:rPr>
          <w:noProof/>
        </w:rPr>
        <w:t>Το άρθρο 218 παράγραφος 9 της Συνθήκης για τη λειτουργία της Ευρωπαϊκής Ένωσης (ΣΛΕΕ) προβλέπει την έκδοση αποφάσεων για τον καθορισμό «των θέσεων που θα πρέπει να ληφθούν, εξ ονόματος της Ένωσης, σε όργανο που συνιστάται από δεδομένη συμφωνία, όταν το εν λόγω όργανο καλείται να θεσπίσει πράξεις που παράγουν έννομα αποτελέσματα, με εξαίρεση τις πράξεις που συμπληρώνουν ή τροποποιούν το θεσμικό πλαίσιο της συμφωνίας».</w:t>
      </w:r>
    </w:p>
    <w:p>
      <w:pPr>
        <w:rPr>
          <w:noProof/>
        </w:rPr>
      </w:pPr>
      <w:r>
        <w:rPr>
          <w:noProof/>
        </w:rPr>
        <w:t>Οι «πράξεις που παράγουν έννομα αποτελέσματα» περιλαμβάνουν πράξεις οι οποίες παράγουν έννομα αποτελέσματα δυνάμει των κανόνων του διεθνούς δικαίου που διέπουν το εν λόγω όργανο, καθώς και μέσα που δεν έχουν δεσμευτική ισχύ βάσει του διεθνούς δικαίου, αλλά «μπορούν να επηρεάσουν με καθοριστικό τρόπο το περιεχόμενο των ρυθμίσεων που θεσπίζει ο νομοθέτης της Ένωσης»</w:t>
      </w:r>
      <w:r>
        <w:rPr>
          <w:rStyle w:val="FootnoteReference"/>
          <w:noProof/>
        </w:rPr>
        <w:footnoteReference w:id="7"/>
      </w:r>
      <w:r>
        <w:rPr>
          <w:noProof/>
        </w:rPr>
        <w:t>.</w:t>
      </w:r>
    </w:p>
    <w:p>
      <w:pPr>
        <w:pStyle w:val="ManualHeading3"/>
        <w:rPr>
          <w:noProof/>
        </w:rPr>
      </w:pPr>
      <w:r>
        <w:t>4.1.2.</w:t>
      </w:r>
      <w:r>
        <w:tab/>
      </w:r>
      <w:r>
        <w:rPr>
          <w:noProof/>
        </w:rPr>
        <w:t>Εφαρμογή στην προκειμένη περίπτωση</w:t>
      </w:r>
    </w:p>
    <w:p>
      <w:pPr>
        <w:rPr>
          <w:noProof/>
        </w:rPr>
      </w:pPr>
      <w:r>
        <w:rPr>
          <w:noProof/>
        </w:rPr>
        <w:t>Η ετήσια διάσκεψη των συμβαλλόμενων μερών είναι όργανο που έχει συσταθεί με συμφωνία, συγκεκριμένα με τη σύμβαση της Βεριγγείου Θαλάσσης.</w:t>
      </w:r>
    </w:p>
    <w:p>
      <w:pPr>
        <w:rPr>
          <w:noProof/>
        </w:rPr>
      </w:pPr>
      <w:r>
        <w:rPr>
          <w:noProof/>
        </w:rPr>
        <w:t>Οι πράξεις που καλείται να εγκρίνει η ετήσια διάσκεψη των συμβαλλόμενων μερών συνιστούν πράξεις που παράγουν έννομα αποτελέσματα. Θα είναι δεσμευτικές βάσει του διεθνούς δικαίου σύμφωνα με το άρθρο 23 της σύμβασης της Βεριγγείου Θαλάσσης και μπορούν να επηρεάσουν με καθοριστικό τρόπο το περιεχόμενο της νομοθεσίας της ΕΕ, και συγκεκριμένα:</w:t>
      </w:r>
    </w:p>
    <w:p>
      <w:pPr>
        <w:pStyle w:val="Bullet0"/>
        <w:numPr>
          <w:ilvl w:val="0"/>
          <w:numId w:val="12"/>
        </w:numPr>
        <w:rPr>
          <w:noProof/>
        </w:rPr>
      </w:pPr>
      <w:r>
        <w:rPr>
          <w:noProof/>
        </w:rPr>
        <w:t>τον κανονισμό (EΚ) αριθ. 1005/2008 του Συμβουλίου περί δημιουργίας κοινοτικού συστήματος πρόληψης, αποτροπής και εξάλειψης της παράνομης, λαθραίας και άναρχης (ΠΛΑ) αλιείας</w:t>
      </w:r>
      <w:r>
        <w:rPr>
          <w:rStyle w:val="FootnoteReference"/>
          <w:noProof/>
        </w:rPr>
        <w:footnoteReference w:id="8"/>
      </w:r>
      <w:r>
        <w:rPr>
          <w:noProof/>
        </w:rPr>
        <w:t xml:space="preserve">· </w:t>
      </w:r>
    </w:p>
    <w:p>
      <w:pPr>
        <w:pStyle w:val="Bullet0"/>
        <w:rPr>
          <w:noProof/>
        </w:rPr>
      </w:pPr>
      <w:r>
        <w:rPr>
          <w:noProof/>
        </w:rPr>
        <w:t>τον κανονισμό (ΕΚ) αριθ. 1224/2009 του Συμβουλίου περί θεσπίσεως κοινοτικού συστήματος ελέγχου της τήρησης των κανόνων της κοινής αλιευτικής πολιτικής</w:t>
      </w:r>
      <w:r>
        <w:rPr>
          <w:rStyle w:val="FootnoteReference"/>
          <w:noProof/>
        </w:rPr>
        <w:footnoteReference w:id="9"/>
      </w:r>
      <w:r>
        <w:rPr>
          <w:noProof/>
        </w:rPr>
        <w:t xml:space="preserve">· και </w:t>
      </w:r>
    </w:p>
    <w:p>
      <w:pPr>
        <w:pStyle w:val="Bullet0"/>
        <w:rPr>
          <w:noProof/>
        </w:rPr>
      </w:pPr>
      <w:r>
        <w:rPr>
          <w:noProof/>
        </w:rPr>
        <w:t>τον κανονισμό (ΕΕ) 2017/2403 του Ευρωπαϊκού Κοινοβουλίου και του Συμβουλίου, της 12ης Δεκεμβρίου 2017, σχετικά με τη βιώσιμη διαχείριση των εξωτερικών αλιευτικών στόλων</w:t>
      </w:r>
      <w:r>
        <w:rPr>
          <w:rStyle w:val="FootnoteReference"/>
          <w:noProof/>
        </w:rPr>
        <w:footnoteReference w:id="10"/>
      </w:r>
      <w:r>
        <w:rPr>
          <w:noProof/>
        </w:rPr>
        <w:t>.</w:t>
      </w:r>
    </w:p>
    <w:p>
      <w:pPr>
        <w:rPr>
          <w:noProof/>
        </w:rPr>
      </w:pPr>
      <w:r>
        <w:rPr>
          <w:noProof/>
        </w:rPr>
        <w:t>Οι προτεινόμενες πράξεις δεν συμπληρώνουν, ούτε τροποποιούν το θεσμικό πλαίσιο της σύμβασης της Βεριγγείου Θαλάσσης.</w:t>
      </w:r>
    </w:p>
    <w:p>
      <w:pPr>
        <w:rPr>
          <w:noProof/>
        </w:rPr>
      </w:pPr>
      <w:r>
        <w:rPr>
          <w:noProof/>
        </w:rPr>
        <w:lastRenderedPageBreak/>
        <w:t>Συνεπώς, η διαδικαστική νομική βάση για την προτεινόμενη απόφαση είναι το άρθρο 218 παράγραφος 9 της ΣΛΕΕ.</w:t>
      </w:r>
    </w:p>
    <w:p>
      <w:pPr>
        <w:pStyle w:val="ManualHeading2"/>
        <w:rPr>
          <w:noProof/>
        </w:rPr>
      </w:pPr>
      <w:r>
        <w:t>4.2.</w:t>
      </w:r>
      <w:r>
        <w:tab/>
      </w:r>
      <w:r>
        <w:rPr>
          <w:noProof/>
        </w:rPr>
        <w:t>Ουσιαστική νομική βάση</w:t>
      </w:r>
    </w:p>
    <w:p>
      <w:pPr>
        <w:pStyle w:val="ManualHeading3"/>
        <w:rPr>
          <w:noProof/>
        </w:rPr>
      </w:pPr>
      <w:r>
        <w:t>4.2.1.</w:t>
      </w:r>
      <w:r>
        <w:tab/>
      </w:r>
      <w:r>
        <w:rPr>
          <w:noProof/>
        </w:rPr>
        <w:t>Αρχές</w:t>
      </w:r>
    </w:p>
    <w:p>
      <w:pPr>
        <w:rPr>
          <w:noProof/>
        </w:rPr>
      </w:pPr>
      <w:r>
        <w:rPr>
          <w:noProof/>
        </w:rPr>
        <w:t>Η ουσιαστική νομική βάση για την έκδοση απόφασης βάσει του άρθρου 218 παράγραφος 9 της ΣΛΕΕ εξαρτάται πρωτίστως από τον στόχο και το περιεχόμενο της προβλεπόμενης πράξης για την οποία λαμβάνεται θέση εξ ονόματος της Ένωσης. Εάν η εν λόγω πράξη επιδιώκει διττό σκοπό ή έχει δύο συνιστώσες και εάν ένας από τους σκοπούς ή μία από τις συνιστώσες μπορεί να χαρακτηριστεί κύριος/-α, ενώ ο/η άλλος/-η έχει απλώς παρεπόμενο χαρακτήρα, η απόφαση δυνάμει του άρθρου 218 παράγραφος 9 της ΣΛΕΕ πρέπει να στηρίζεται σε μία και μόνη ουσιαστική νομική βάση, ήτοι εκείνη που επιβάλλει ο κύριος ή πρωτεύων σκοπός ή συνιστώσα.</w:t>
      </w:r>
    </w:p>
    <w:p>
      <w:pPr>
        <w:pStyle w:val="ManualHeading3"/>
        <w:rPr>
          <w:noProof/>
        </w:rPr>
      </w:pPr>
      <w:r>
        <w:t>4.2.2.</w:t>
      </w:r>
      <w:r>
        <w:tab/>
      </w:r>
      <w:r>
        <w:rPr>
          <w:noProof/>
        </w:rPr>
        <w:t>Εφαρμογή στην προκειμένη περίπτωση</w:t>
      </w:r>
    </w:p>
    <w:p>
      <w:pPr>
        <w:rPr>
          <w:noProof/>
        </w:rPr>
      </w:pPr>
      <w:r>
        <w:rPr>
          <w:noProof/>
        </w:rPr>
        <w:t>Ο κύριος σκοπός και το περιεχόμενο της προβλεπόμενης πράξης αφορούν την αλιεία. Ο κανονισμός (ΕΕ) αριθ. 1380/2013 αποτελεί τη νομική βάση για τον καθορισμό των αρχών που πρέπει να αντικατοπτρίζονται στην παρούσα θέση.</w:t>
      </w:r>
    </w:p>
    <w:p>
      <w:pPr>
        <w:rPr>
          <w:noProof/>
        </w:rPr>
      </w:pPr>
      <w:r>
        <w:rPr>
          <w:noProof/>
        </w:rPr>
        <w:t>Ως εκ τούτου, η ουσιαστική νομική βάση για την προτεινόμενη απόφαση είναι το άρθρο 43 παράγραφος 2 της ΣΛΕΕ. Η παρούσα απόφαση πρόκειται να αντικαταστήσει την απόφαση 9782/17.</w:t>
      </w:r>
    </w:p>
    <w:p>
      <w:pPr>
        <w:pStyle w:val="ManualHeading2"/>
        <w:rPr>
          <w:noProof/>
        </w:rPr>
      </w:pPr>
      <w:r>
        <w:t>4.3.</w:t>
      </w:r>
      <w:r>
        <w:tab/>
      </w:r>
      <w:r>
        <w:rPr>
          <w:noProof/>
        </w:rPr>
        <w:t>Συμπέρασμα</w:t>
      </w:r>
    </w:p>
    <w:p>
      <w:pPr>
        <w:rPr>
          <w:noProof/>
        </w:rPr>
      </w:pPr>
      <w:r>
        <w:rPr>
          <w:noProof/>
        </w:rPr>
        <w:t>Το άρθρο 43 παράγραφος 2 της ΣΛΕΕ, σε συνδυασμό με το άρθρο 218 παράγραφος 9 της ΣΛΕΕ</w:t>
      </w:r>
      <w:r>
        <w:t>,</w:t>
      </w:r>
      <w:r>
        <w:rPr>
          <w:noProof/>
        </w:rPr>
        <w:t xml:space="preserve"> θα πρέπει να αποτελέσει τη νομική βάση της προτεινόμενης απόφασης.</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2019/0058 (NLE)</w:t>
      </w:r>
    </w:p>
    <w:p>
      <w:pPr>
        <w:pStyle w:val="Statut"/>
        <w:rPr>
          <w:noProof/>
        </w:rPr>
      </w:pPr>
      <w:r>
        <w:rPr>
          <w:noProof/>
        </w:rPr>
        <w:t>Πρόταση</w:t>
      </w:r>
    </w:p>
    <w:p>
      <w:pPr>
        <w:pStyle w:val="Typedudocument"/>
        <w:rPr>
          <w:noProof/>
        </w:rPr>
      </w:pPr>
      <w:r>
        <w:rPr>
          <w:noProof/>
        </w:rPr>
        <w:t>ΑΠΟΦΑΣΗ ΤΟΥ ΣΥΜΒΟΥΛΙΟΥ</w:t>
      </w:r>
    </w:p>
    <w:p>
      <w:pPr>
        <w:pStyle w:val="Titreobjet"/>
        <w:rPr>
          <w:noProof/>
        </w:rPr>
      </w:pPr>
      <w:r>
        <w:rPr>
          <w:noProof/>
        </w:rPr>
        <w:t>σχετικά με τη θέση που πρέπει να ληφθεί, εξ ονόματος της Ευρωπαϊκής Ένωσης, στην ετήσια διάσκεψη των συμβαλλόμενων μερών της σύμβασης για τη διατήρηση και διαχείριση των αποθεμάτων μπακαλιάρου της Αλάσκας στην κεντρική Βερίγγειο Θάλασσα και για την κατάργηση της απόφασης 9782/17</w:t>
      </w:r>
    </w:p>
    <w:p>
      <w:pPr>
        <w:pStyle w:val="Institutionquiagit"/>
        <w:rPr>
          <w:b/>
          <w:noProof/>
        </w:rPr>
      </w:pPr>
      <w:r>
        <w:rPr>
          <w:b/>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43 παράγραφος 2</w:t>
      </w:r>
      <w:r>
        <w:t>,</w:t>
      </w:r>
      <w:r>
        <w:rPr>
          <w:noProof/>
        </w:rPr>
        <w:t xml:space="preserve"> σε συνδυασμό με το άρθρο 218 παράγραφος 9,</w:t>
      </w:r>
    </w:p>
    <w:p>
      <w:pPr>
        <w:rPr>
          <w:noProof/>
        </w:rPr>
      </w:pPr>
      <w:r>
        <w:rPr>
          <w:noProof/>
        </w:rPr>
        <w:t>Έχοντας υπόψη την πρόταση της Ευρωπαϊκής Επιτροπής,</w:t>
      </w:r>
    </w:p>
    <w:p>
      <w:pPr>
        <w:rPr>
          <w:noProof/>
        </w:rPr>
      </w:pPr>
      <w:r>
        <w:rPr>
          <w:noProof/>
        </w:rPr>
        <w:t>Εκτιμώντας τα ακόλουθα:</w:t>
      </w:r>
    </w:p>
    <w:p>
      <w:pPr>
        <w:pStyle w:val="ManualConsidrant"/>
        <w:rPr>
          <w:noProof/>
        </w:rPr>
      </w:pPr>
      <w:r>
        <w:t>(1)</w:t>
      </w:r>
      <w:r>
        <w:tab/>
      </w:r>
      <w:r>
        <w:rPr>
          <w:noProof/>
        </w:rPr>
        <w:t>Η Δημοκρατία της Πολωνίας είναι συμβαλλόμενο μέρος της σύμβασης για τη διατήρηση και διαχείριση των αποθεμάτων μπακαλιάρου της Αλάσκας στην κεντρική Βερίγγειο Θάλασσα (σύμβαση της Βεριγγείου Θαλάσσης). Η Ένωση δεν αποτελεί συμβαλλόμενο μέρος στην προαναφερθείσα σύμβαση. Σύμφωνα με το άρθρο 6 παράγραφος 9 της πράξης προσχώρησης</w:t>
      </w:r>
      <w:r>
        <w:rPr>
          <w:rStyle w:val="FootnoteReference"/>
          <w:noProof/>
        </w:rPr>
        <w:footnoteReference w:id="11"/>
      </w:r>
      <w:r>
        <w:rPr>
          <w:noProof/>
        </w:rPr>
        <w:t>, η διαχείριση των αλιευτικών συμφωνιών που έχουν συνάψει τα κράτη μέλη με τρίτες χώρες διενεργείται από την Ένωση, η οποία πρέπει να εφαρμόσει τις αποφάσεις που λαμβάνονται στο πλαίσιο της σύμβασης της Βεριγγείου Θαλάσσης.</w:t>
      </w:r>
    </w:p>
    <w:p>
      <w:pPr>
        <w:pStyle w:val="ManualConsidrant"/>
        <w:rPr>
          <w:noProof/>
        </w:rPr>
      </w:pPr>
      <w:r>
        <w:t>(2)</w:t>
      </w:r>
      <w:r>
        <w:tab/>
      </w:r>
      <w:r>
        <w:rPr>
          <w:noProof/>
        </w:rPr>
        <w:t xml:space="preserve">Η απόφαση 7277/16 του Συμβουλίου, της 11ης Απριλίου 2016, εξουσιοδοτεί τη Δημοκρατία της Πολωνίας να διαπραγματευτεί, προς το συμφέρον της Ένωσης, την τροποποίηση της σύμβασης της Βεριγγείου Θαλάσσης με στόχο η Ευρωπαϊκή Ένωση να καταστεί συμβαλλόμενο μέρος της εν λόγω σύμβασης. Η εντολή αυτή βρίσκεται επί του παρόντος στο στάδιο της εκτέλεσης. Εξυπακούεται ότι, κατόπιν της αποδοχής της Ένωσης ως πλήρους συμβαλλόμενου μέρους της σύμβασης της Βεριγγείου Θαλάσσης, η Δημοκρατία της Πολωνίας θα παραιτηθεί από την ιδιότητα του μέλους της σύμβασης.  </w:t>
      </w:r>
    </w:p>
    <w:p>
      <w:pPr>
        <w:pStyle w:val="ManualConsidrant"/>
        <w:rPr>
          <w:noProof/>
        </w:rPr>
      </w:pPr>
      <w:r>
        <w:t>(3)</w:t>
      </w:r>
      <w:r>
        <w:tab/>
      </w:r>
      <w:r>
        <w:rPr>
          <w:noProof/>
        </w:rPr>
        <w:t>Η ετήσια διάσκεψη των συμβαλλόμενων μερών της σύμβασης της Βεριγγείου Θαλάσσης (η ετήσια διάσκεψη των συμβαλλόμενων μερών) είναι αρμόδια για τη διαχείριση και τη διατήρηση των αποθεμάτων μπακαλιάρου Αλάσκας στην περιοχή της σύμβασης της Βεριγγείου Θαλάσσης. Τα μέτρα αυτά ενδέχεται να καταστούν δεσμευτικά για την Ένωση.</w:t>
      </w:r>
    </w:p>
    <w:p>
      <w:pPr>
        <w:pStyle w:val="ManualConsidrant"/>
        <w:rPr>
          <w:noProof/>
        </w:rPr>
      </w:pPr>
      <w:r>
        <w:t>(4)</w:t>
      </w:r>
      <w:r>
        <w:tab/>
      </w:r>
      <w:r>
        <w:rPr>
          <w:noProof/>
        </w:rPr>
        <w:t>Ο κανονισμός (EΕ) αριθ. 1380/2013 του Ευρωπαϊκού Κοινοβουλίου και του Συμβουλίου</w:t>
      </w:r>
      <w:r>
        <w:rPr>
          <w:rStyle w:val="FootnoteReference"/>
          <w:noProof/>
        </w:rPr>
        <w:footnoteReference w:id="12"/>
      </w:r>
      <w:r>
        <w:rPr>
          <w:noProof/>
          <w:sz w:val="16"/>
          <w:szCs w:val="16"/>
        </w:rPr>
        <w:t xml:space="preserve"> </w:t>
      </w:r>
      <w:r>
        <w:rPr>
          <w:noProof/>
        </w:rPr>
        <w:t xml:space="preserve">προβλέπει ότι η Ένωση διασφαλίζει ότι οι δραστηριότητες αλιείας και </w:t>
      </w:r>
      <w:r>
        <w:rPr>
          <w:noProof/>
        </w:rPr>
        <w:lastRenderedPageBreak/>
        <w:t>υδατοκαλλιέργειας είναι περιβαλλοντικά βιώσιμες μακροπρόθεσμα και ότι υπόκεινται σε διαχείριση με τρόπο που είναι συμβατός με τον στόχο της επίτευξης οικονομικών και κοινωνικών οφελών και οφελών για την απασχόληση, καθώς και της συμβολής στη διαθεσιμότητα επισιτιστικών πόρων. Ορίζει επίσης ότι η Ένωση εφαρμόζει την προληπτική προσέγγιση για τη διαχείριση της αλιείας και έχει σκοπό να διασφαλίσει ότι η εκμετάλλευση των έμβιων βιολογικών πόρων της θάλασσας αποκαθιστά και διατηρεί τους πληθυσμούς των αλιευόμενων ειδών πάνω από τα επίπεδα εκείνα που μπορούν να εξασφαλίσουν τη μέγιστη βιώσιμη απόδοση. Προβλέπει περαιτέρω ότι η Ένωση πρέπει να λαμβάνει μέτρα διαχείρισης και διατήρησης με βάση τις βέλτιστες διαθέσιμες επιστημονικές γνωμοδοτήσεις, με σκοπό τη στήριξη της ανάπτυξης των επιστημονικών γνώσεων και γνωμοδοτήσεων, τη σταδιακή εξάλειψη των απορρίψεων και την προαγωγή αλιευτικών μεθόδων που προωθούν επιλεκτικότερες τεχνικές αλιείας, την αποφυγή και τη μείωση, κατά το δυνατόν, των ανεπιθύμητων αλιευμάτων και την αλιεία με χαμηλό αντίκτυπο στο θαλάσσιο οικοσύστημα και στους αλιευτικούς πόρους. Επιπλέον, ο κανονισμός (ΕΕ) αριθ. 1380/2013 ορίζει συγκεκριμένα ότι οι εν λόγω στόχοι και οι αρχές πρέπει να εφαρμόζονται από την Ένωση κατά την άσκηση των εξωτερικών σχέσεών της στον τομέα της αλιείας.</w:t>
      </w:r>
    </w:p>
    <w:p>
      <w:pPr>
        <w:pStyle w:val="ManualConsidrant"/>
        <w:rPr>
          <w:noProof/>
        </w:rPr>
      </w:pPr>
      <w:r>
        <w:t>(5)</w:t>
      </w:r>
      <w:r>
        <w:tab/>
      </w:r>
      <w:r>
        <w:rPr>
          <w:noProof/>
        </w:rPr>
        <w:t xml:space="preserve">Όπως αναφέρεται στην κοινή ανακοίνωση της Ύπατης Εκπροσώπου της Ένωσης για θέματα Εξωτερικής Πολιτικής και Πολιτικής Ασφαλείας και της Ευρωπαϊκής Επιτροπής, με τίτλο </w:t>
      </w:r>
      <w:r>
        <w:rPr>
          <w:i/>
          <w:noProof/>
        </w:rPr>
        <w:t>Διεθνής διακυβέρνηση των ωκεανών: ένα θεματολόγιο για το μέλλον των ωκεανών μας</w:t>
      </w:r>
      <w:r>
        <w:rPr>
          <w:rStyle w:val="FootnoteReference"/>
          <w:noProof/>
        </w:rPr>
        <w:footnoteReference w:id="13"/>
      </w:r>
      <w:r>
        <w:rPr>
          <w:noProof/>
        </w:rPr>
        <w:t>, καθώς και στα συμπεράσματα του Συμβουλίου σχετικά με την κοινή ανακοίνωση</w:t>
      </w:r>
      <w:r>
        <w:rPr>
          <w:rStyle w:val="FootnoteReference"/>
          <w:noProof/>
        </w:rPr>
        <w:footnoteReference w:id="14"/>
      </w:r>
      <w:r>
        <w:rPr>
          <w:noProof/>
        </w:rPr>
        <w:t>, η προώθηση μέτρων για την υποστήριξη και την ενίσχυση της αποτελεσματικότητας των περιφερειακών οργανώσεων διαχείρισης της αλιείας (ΠΟΔΑ) και, κατά περίπτωση, για τη βελτίωση της διακυβέρνησής τους βρίσκεται στο επίκεντρο της δράσης της Ένωσης σε αυτά τα φόρουμ.</w:t>
      </w:r>
    </w:p>
    <w:p>
      <w:pPr>
        <w:pStyle w:val="ManualConsidrant"/>
        <w:rPr>
          <w:noProof/>
        </w:rPr>
      </w:pPr>
      <w:r>
        <w:t>(6)</w:t>
      </w:r>
      <w:r>
        <w:tab/>
      </w:r>
      <w:r>
        <w:rPr>
          <w:noProof/>
        </w:rPr>
        <w:t xml:space="preserve">Η ανακοίνωση της Επιτροπής προς το Ευρωπαϊκό Κοινοβούλιο, το Συμβούλιο, την Ευρωπαϊκή Οικονομική και Κοινωνική Επιτροπή και την Επιτροπή των Περιφερειών, με τίτλο </w:t>
      </w:r>
      <w:r>
        <w:rPr>
          <w:i/>
          <w:noProof/>
        </w:rPr>
        <w:t>Ευρωπαϊκή στρατηγική για τις πλαστικές ύλες σε μια κυκλική οικονομία</w:t>
      </w:r>
      <w:r>
        <w:rPr>
          <w:rStyle w:val="FootnoteReference"/>
          <w:noProof/>
        </w:rPr>
        <w:footnoteReference w:id="15"/>
      </w:r>
      <w:r>
        <w:rPr>
          <w:noProof/>
        </w:rPr>
        <w:t>, αφορά ειδικά μέτρα για τη μείωση των πλαστικών υλών και της θαλάσσιας ρύπανσης, καθώς και της απώλειας ή εγκατάλειψης αλιευτικών εργαλείων στη θάλασσα.</w:t>
      </w:r>
    </w:p>
    <w:p>
      <w:pPr>
        <w:pStyle w:val="ManualConsidrant"/>
        <w:rPr>
          <w:noProof/>
        </w:rPr>
      </w:pPr>
      <w:r>
        <w:t>(7)</w:t>
      </w:r>
      <w:r>
        <w:tab/>
      </w:r>
      <w:r>
        <w:rPr>
          <w:noProof/>
        </w:rPr>
        <w:t>Είναι σκόπιμο να καθοριστεί η θέση που πρέπει να ληφθεί εξ ονόματος της Ένωσης στην ετήσια διάσκεψη των συμβαλλόμενων μερών για την περίοδο 2019-2023, δεδομένου ότι τα μέτρα διατήρησης και επιβολής της εφαρμογής που θα εγκριθούν από την ετήσια συνεδρίαση των συμβαλλόμενων μερών θα είναι δεσμευτικά για την Ένωση και μπορούν να επηρεάσουν με καθοριστικό τρόπο το περιεχόμενο της ενωσιακής νομοθεσίας, και συγκεκριμένα τον κανονισμό (ΕΚ) αριθ. 1005/2008 του Συμβουλίου</w:t>
      </w:r>
      <w:r>
        <w:rPr>
          <w:rStyle w:val="FootnoteReference"/>
          <w:noProof/>
        </w:rPr>
        <w:footnoteReference w:id="16"/>
      </w:r>
      <w:r>
        <w:rPr>
          <w:noProof/>
        </w:rPr>
        <w:t>· τον κανονισμό (ΕΚ) αριθ. 1224/2009 του Συμβουλίου</w:t>
      </w:r>
      <w:r>
        <w:rPr>
          <w:rStyle w:val="FootnoteReference"/>
          <w:noProof/>
        </w:rPr>
        <w:footnoteReference w:id="17"/>
      </w:r>
      <w:r>
        <w:rPr>
          <w:noProof/>
        </w:rPr>
        <w:t>· και τον κανονισμό (EE) 2017/2403 του Ευρωπαϊκού Κοινοβουλίου και του Συμβουλίου</w:t>
      </w:r>
      <w:r>
        <w:rPr>
          <w:rStyle w:val="FootnoteReference"/>
          <w:noProof/>
        </w:rPr>
        <w:footnoteReference w:id="18"/>
      </w:r>
      <w:r>
        <w:rPr>
          <w:noProof/>
        </w:rPr>
        <w:t>.</w:t>
      </w:r>
    </w:p>
    <w:p>
      <w:pPr>
        <w:pStyle w:val="ManualConsidrant"/>
        <w:rPr>
          <w:noProof/>
        </w:rPr>
      </w:pPr>
      <w:r>
        <w:lastRenderedPageBreak/>
        <w:t>(8)</w:t>
      </w:r>
      <w:r>
        <w:tab/>
      </w:r>
      <w:r>
        <w:rPr>
          <w:noProof/>
        </w:rPr>
        <w:t>Η απόφαση 9782/17 του Συμβουλίου</w:t>
      </w:r>
      <w:r>
        <w:rPr>
          <w:rStyle w:val="FootnoteReference"/>
          <w:noProof/>
          <w:lang w:eastAsia="en-GB"/>
        </w:rPr>
        <w:footnoteReference w:id="19"/>
      </w:r>
      <w:r>
        <w:rPr>
          <w:noProof/>
        </w:rPr>
        <w:t xml:space="preserve"> δεν προβλέπει την αναθεώρηση της θέσης της Ένωσης στο πλαίσιο της ετήσιας διάσκεψης των συμβαλλόμενων μερών πριν από την ετήσια συνεδρίαση του 2022. Ωστόσο, η συντριπτική πλειονότητα των αποφάσεων του Συμβουλίου που καθορίζουν τη θέση της Ένωσης στο πλαίσιο των διάφορων ΠΟΔΑ στις οποίες η Ένωση είναι συμβαλλόμενο μέρος, πρόκειται να αναθεωρηθούν πριν από τις ετήσιες συνεδριάσεις των αντίστοιχων ΠΟΔΑ του 2019. Ως εκ τούτου, για την εξασφάλιση μεγαλύτερης συνοχής μεταξύ της θέσης της Ένωσης σε όλες τις ΠΟΔΑ και για τον εξορθολογισμό της διαδικασίας αναθεώρησης, είναι σκόπιμο να επισπευστεί η αναθεώρηση της απόφασης 9782/17 του Συμβουλίου και να καταργηθεί αντικαθιστάμενη από νέα απόφαση για την περίοδο 2019-2023.</w:t>
      </w:r>
    </w:p>
    <w:p>
      <w:pPr>
        <w:pStyle w:val="ManualConsidrant"/>
        <w:rPr>
          <w:noProof/>
        </w:rPr>
      </w:pPr>
      <w:r>
        <w:t>(9)</w:t>
      </w:r>
      <w:r>
        <w:tab/>
      </w:r>
      <w:r>
        <w:rPr>
          <w:noProof/>
        </w:rPr>
        <w:t>Δεδομένης της εξελισσόμενης φύσης των αλιευτικών πόρων στη περιοχή της σύμβασης της Βεριγγείου Θαλάσσης και της συνεπακόλουθης ανάγκης να λαμβάνονται υπόψη στη θέση της Ένωσης οι νέες εξελίξεις, συμπεριλαμβανομένων των νέων επιστημονικών και άλλων σχετικών πληροφοριών που υποβάλλονται πριν ή κατά τη διάρκεια των συνεδριάσεων της ετήσιας διάσκεψης των συμβαλλόμενων μερών, θα πρέπει να θεσπιστούν διαδικασίες, σύμφωνα με την αρχή της καλόπιστης συνεργασίας μεταξύ των θεσμικών οργάνων της Ένωσης που κατοχυρώνεται στο άρθρο 13 παράγραφος 2 της Συνθήκης για την Ευρωπαϊκή Ένωση (ΣΕΕ), για την εξειδίκευση της θέσης της Ένωσης σε ετήσια βάση, για την περίοδο 2019-2023.</w:t>
      </w:r>
    </w:p>
    <w:p>
      <w:pPr>
        <w:pStyle w:val="Formuledadoption"/>
        <w:rPr>
          <w:noProof/>
        </w:rPr>
      </w:pPr>
      <w:r>
        <w:rPr>
          <w:noProof/>
        </w:rPr>
        <w:t>ΕΞΕΔΩΣΕ ΤΗΝ ΠΑΡΟΥΣΑ ΑΠΟΦΑΣΗ:</w:t>
      </w:r>
    </w:p>
    <w:p>
      <w:pPr>
        <w:pStyle w:val="Titrearticle"/>
        <w:rPr>
          <w:noProof/>
        </w:rPr>
      </w:pPr>
      <w:r>
        <w:rPr>
          <w:noProof/>
        </w:rPr>
        <w:t>Άρθρο 1</w:t>
      </w:r>
    </w:p>
    <w:p>
      <w:pPr>
        <w:autoSpaceDE w:val="0"/>
        <w:autoSpaceDN w:val="0"/>
        <w:adjustRightInd w:val="0"/>
        <w:spacing w:before="0" w:after="0"/>
        <w:rPr>
          <w:noProof/>
        </w:rPr>
      </w:pPr>
      <w:r>
        <w:rPr>
          <w:noProof/>
        </w:rPr>
        <w:t>Η θέση που πρέπει να ληφθεί εξ ονόματος της Ένωσης στην ετήσια διάσκεψη των συμβαλλόμενων μερών της σύμβασης της Βεριγγείου Θαλάσσης καθορίζεται στο παράρτημα Ι.</w:t>
      </w:r>
    </w:p>
    <w:p>
      <w:pPr>
        <w:pStyle w:val="Titrearticle"/>
        <w:rPr>
          <w:noProof/>
        </w:rPr>
      </w:pPr>
      <w:r>
        <w:rPr>
          <w:noProof/>
        </w:rPr>
        <w:t>Άρθρο 2</w:t>
      </w:r>
    </w:p>
    <w:p>
      <w:pPr>
        <w:autoSpaceDE w:val="0"/>
        <w:autoSpaceDN w:val="0"/>
        <w:adjustRightInd w:val="0"/>
        <w:spacing w:before="0" w:after="0"/>
        <w:rPr>
          <w:noProof/>
          <w:szCs w:val="24"/>
        </w:rPr>
      </w:pPr>
      <w:r>
        <w:rPr>
          <w:noProof/>
        </w:rPr>
        <w:t>Η εξειδίκευση σε ετήσια βάση της θέσης που πρέπει να λάβει η Ένωση κατά τις συνεδριάσεις της ετήσιας διάσκεψης των συμβαλλόμενων μερών της σύμβασης της Βεριγγείου Θαλάσσης διεξάγεται σύμφωνα με το παράρτημα ΙΙ.</w:t>
      </w:r>
    </w:p>
    <w:p>
      <w:pPr>
        <w:pStyle w:val="Titrearticle"/>
        <w:rPr>
          <w:noProof/>
        </w:rPr>
      </w:pPr>
      <w:r>
        <w:rPr>
          <w:noProof/>
        </w:rPr>
        <w:t>Άρθρο 3</w:t>
      </w:r>
    </w:p>
    <w:p>
      <w:pPr>
        <w:rPr>
          <w:noProof/>
        </w:rPr>
      </w:pPr>
      <w:r>
        <w:rPr>
          <w:noProof/>
        </w:rPr>
        <w:t xml:space="preserve">Η θέση της Ένωσης που περιλαμβάνεται στο παράρτημα Ι αξιολογείται και, εφόσον κρίνεται σκόπιμο, αναθεωρείται από το Συμβούλιο κατόπιν πρότασης της Επιτροπής, το αργότερο έως </w:t>
      </w:r>
      <w:r>
        <w:rPr>
          <w:noProof/>
        </w:rPr>
        <w:lastRenderedPageBreak/>
        <w:t>την ετήσια διάσκεψη των συμβαλλόμενων μερών της σύμβασης της Βεριγγείου Θαλάσσης το 2024.</w:t>
      </w:r>
    </w:p>
    <w:p>
      <w:pPr>
        <w:pStyle w:val="Titrearticle"/>
        <w:rPr>
          <w:noProof/>
        </w:rPr>
      </w:pPr>
      <w:r>
        <w:rPr>
          <w:noProof/>
        </w:rPr>
        <w:t>Άρθρο 4</w:t>
      </w:r>
    </w:p>
    <w:p>
      <w:pPr>
        <w:autoSpaceDE w:val="0"/>
        <w:autoSpaceDN w:val="0"/>
        <w:adjustRightInd w:val="0"/>
        <w:spacing w:before="0" w:after="0"/>
        <w:rPr>
          <w:noProof/>
          <w:szCs w:val="24"/>
        </w:rPr>
      </w:pPr>
      <w:r>
        <w:rPr>
          <w:noProof/>
        </w:rPr>
        <w:t>Καταργείται η απόφαση 9782/17 της 30ής Μαΐου 2017.</w:t>
      </w:r>
    </w:p>
    <w:p>
      <w:pPr>
        <w:spacing w:before="360" w:line="360" w:lineRule="auto"/>
        <w:jc w:val="center"/>
        <w:rPr>
          <w:rFonts w:asciiTheme="majorBidi" w:eastAsia="Times New Roman" w:hAnsiTheme="majorBidi" w:cstheme="majorBidi"/>
          <w:i/>
          <w:noProof/>
          <w:szCs w:val="24"/>
        </w:rPr>
      </w:pPr>
      <w:r>
        <w:rPr>
          <w:rFonts w:asciiTheme="majorBidi" w:hAnsiTheme="majorBidi"/>
          <w:i/>
          <w:noProof/>
          <w:szCs w:val="24"/>
        </w:rPr>
        <w:t>Άρθρο 5</w:t>
      </w:r>
    </w:p>
    <w:p>
      <w:pPr>
        <w:spacing w:line="360" w:lineRule="auto"/>
        <w:ind w:left="567" w:hanging="567"/>
        <w:jc w:val="left"/>
        <w:rPr>
          <w:rFonts w:asciiTheme="majorBidi" w:eastAsia="Times New Roman" w:hAnsiTheme="majorBidi" w:cstheme="majorBidi"/>
          <w:noProof/>
          <w:szCs w:val="24"/>
        </w:rPr>
      </w:pPr>
      <w:r>
        <w:rPr>
          <w:rFonts w:asciiTheme="majorBidi" w:hAnsiTheme="majorBidi"/>
          <w:noProof/>
          <w:szCs w:val="24"/>
        </w:rPr>
        <w:t>1.</w:t>
      </w:r>
      <w:r>
        <w:rPr>
          <w:rFonts w:asciiTheme="majorBidi" w:hAnsiTheme="majorBidi"/>
          <w:noProof/>
          <w:szCs w:val="24"/>
        </w:rPr>
        <w:tab/>
        <w:t>Η παρούσα απόφαση</w:t>
      </w:r>
      <w:r>
        <w:rPr>
          <w:noProof/>
        </w:rPr>
        <w:t xml:space="preserve"> απευθύνεται </w:t>
      </w:r>
      <w:r>
        <w:rPr>
          <w:rFonts w:asciiTheme="majorBidi" w:hAnsiTheme="majorBidi"/>
          <w:noProof/>
          <w:szCs w:val="24"/>
        </w:rPr>
        <w:t>στη Δημοκρατία της Πολωνίας.</w:t>
      </w:r>
    </w:p>
    <w:p>
      <w:pPr>
        <w:spacing w:line="360" w:lineRule="auto"/>
        <w:ind w:left="567" w:hanging="567"/>
        <w:jc w:val="left"/>
        <w:rPr>
          <w:rFonts w:asciiTheme="majorBidi" w:eastAsia="Times New Roman" w:hAnsiTheme="majorBidi" w:cstheme="majorBidi"/>
          <w:noProof/>
          <w:szCs w:val="24"/>
        </w:rPr>
      </w:pPr>
      <w:r>
        <w:rPr>
          <w:rFonts w:asciiTheme="majorBidi" w:hAnsiTheme="majorBidi"/>
          <w:noProof/>
          <w:szCs w:val="24"/>
        </w:rPr>
        <w:t xml:space="preserve">2. </w:t>
      </w:r>
      <w:r>
        <w:rPr>
          <w:rFonts w:asciiTheme="majorBidi" w:hAnsiTheme="majorBidi"/>
          <w:noProof/>
          <w:szCs w:val="24"/>
        </w:rPr>
        <w:tab/>
        <w:t>Στην περίπτωση</w:t>
      </w:r>
      <w:r>
        <w:rPr>
          <w:noProof/>
        </w:rPr>
        <w:t xml:space="preserve"> προσχώρησης </w:t>
      </w:r>
      <w:r>
        <w:rPr>
          <w:rFonts w:asciiTheme="majorBidi" w:hAnsiTheme="majorBidi"/>
          <w:noProof/>
          <w:szCs w:val="24"/>
        </w:rPr>
        <w:t>της Ένωσης στη σύμβαση της Βεριγγείου Θαλάσσης, η παρούσα απόφαση απευθύνεται στην Επιτροπή, η οποία θα εκπροσωπεί την Ένωση στις συνεδριάσεις της ετήσιας διάσκεψης των συμβαλλόμενων μερών της σύμβασης της Βεριγγείου Θαλάσσης.</w:t>
      </w:r>
    </w:p>
    <w:p>
      <w:pPr>
        <w:spacing w:line="360" w:lineRule="auto"/>
        <w:ind w:left="567" w:hanging="567"/>
        <w:jc w:val="left"/>
        <w:rPr>
          <w:rFonts w:asciiTheme="majorBidi" w:eastAsia="Times New Roman" w:hAnsiTheme="majorBidi" w:cstheme="majorBidi"/>
          <w:noProof/>
          <w:szCs w:val="24"/>
        </w:rPr>
      </w:pPr>
      <w:r>
        <w:rPr>
          <w:rFonts w:asciiTheme="majorBidi" w:hAnsiTheme="majorBidi"/>
          <w:noProof/>
          <w:szCs w:val="24"/>
        </w:rPr>
        <w:t>3.</w:t>
      </w:r>
      <w:r>
        <w:rPr>
          <w:rFonts w:asciiTheme="majorBidi" w:hAnsiTheme="majorBidi"/>
          <w:noProof/>
          <w:szCs w:val="24"/>
        </w:rPr>
        <w:tab/>
        <w:t>Η παρούσα απόφαση αρχίζει να</w:t>
      </w:r>
      <w:r>
        <w:rPr>
          <w:noProof/>
        </w:rPr>
        <w:t xml:space="preserve"> ισχύει </w:t>
      </w:r>
      <w:r>
        <w:rPr>
          <w:rFonts w:asciiTheme="majorBidi" w:hAnsiTheme="majorBidi"/>
          <w:noProof/>
          <w:szCs w:val="24"/>
        </w:rPr>
        <w:t>την ημέρα της έκδοσής της.</w:t>
      </w: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rStyle w:val="Strong"/>
          <w:b w:val="0"/>
        </w:rPr>
        <w:t>Πράξη περί των όρων προσχωρήσεως της Τσεχικής Δημοκρατίας, της Δημοκρατίας της Εσθονίας, της Κυπριακής Δημοκρατίας, της Δημοκρατίας της Λετονίας, της Δημοκρατίας της Λιθουανίας, της Δημοκρατίας της Ουγγαρίας, της Δημοκρατίας της Μάλτας, της Δημοκρατίας της Πολωνίας, της Δημοκρατίας της Σλοβενίας και της Σλοβακικής Δημοκρατίας και των προσαρμογών των Συνθηκών επί των οποίων βασίζεται η Ευρωπαϊκή Ένωση (</w:t>
      </w:r>
      <w:r>
        <w:t>ΕΕ L 236 της 23.9.2003, σ. 33).</w:t>
      </w:r>
    </w:p>
  </w:footnote>
  <w:footnote w:id="2">
    <w:p>
      <w:pPr>
        <w:pStyle w:val="FootnoteText"/>
      </w:pPr>
      <w:r>
        <w:rPr>
          <w:rStyle w:val="FootnoteReference"/>
        </w:rPr>
        <w:footnoteRef/>
      </w:r>
      <w:r>
        <w:tab/>
        <w:t>Κανονισμός (ΕΕ) αριθ. 1380/2013 του Ευρωπαϊκού Κοινοβουλίου και του Συμβουλίου, σχετικά με την Κοινή Αλιευτική Πολιτική, την τροποποίηση των κανονισμών του Συμβουλίου (ΕΚ) αριθ. 1954/2003 και (ΕΚ) αριθ. 1224/2009 και την κατάργηση των κανονισμών του Συμβουλίου (ΕΚ) αριθ. 2371/2002 και (ΕΚ) αριθ. 639/2004 και της απόφασης 2004/585/ΕΚ του Συμβουλίου (ΕΕ L 354 της 28.12.2013, σ. 22).</w:t>
      </w:r>
    </w:p>
  </w:footnote>
  <w:footnote w:id="3">
    <w:p>
      <w:pPr>
        <w:pStyle w:val="FootnoteText"/>
        <w:rPr>
          <w:lang w:val="pt-PT"/>
        </w:rPr>
      </w:pPr>
      <w:r>
        <w:rPr>
          <w:rStyle w:val="FootnoteReference"/>
        </w:rPr>
        <w:footnoteRef/>
      </w:r>
      <w:r>
        <w:rPr>
          <w:lang w:val="pt-PT"/>
        </w:rPr>
        <w:tab/>
        <w:t xml:space="preserve">COM(2011) 424 </w:t>
      </w:r>
      <w:r>
        <w:t>της</w:t>
      </w:r>
      <w:r>
        <w:rPr>
          <w:lang w:val="pt-PT"/>
        </w:rPr>
        <w:t xml:space="preserve"> 13.7.2011.</w:t>
      </w:r>
    </w:p>
  </w:footnote>
  <w:footnote w:id="4">
    <w:p>
      <w:pPr>
        <w:pStyle w:val="FootnoteText"/>
        <w:rPr>
          <w:lang w:val="pt-PT"/>
        </w:rPr>
      </w:pPr>
      <w:r>
        <w:rPr>
          <w:rStyle w:val="FootnoteReference"/>
        </w:rPr>
        <w:footnoteRef/>
      </w:r>
      <w:r>
        <w:rPr>
          <w:lang w:val="pt-PT"/>
        </w:rPr>
        <w:tab/>
        <w:t xml:space="preserve">COM(2018) 28 final </w:t>
      </w:r>
      <w:r>
        <w:t>της</w:t>
      </w:r>
      <w:r>
        <w:rPr>
          <w:lang w:val="pt-PT"/>
        </w:rPr>
        <w:t xml:space="preserve"> 16.1.2018.</w:t>
      </w:r>
    </w:p>
  </w:footnote>
  <w:footnote w:id="5">
    <w:p>
      <w:pPr>
        <w:pStyle w:val="FootnoteText"/>
        <w:rPr>
          <w:lang w:val="pt-PT"/>
        </w:rPr>
      </w:pPr>
      <w:r>
        <w:rPr>
          <w:rStyle w:val="FootnoteReference"/>
        </w:rPr>
        <w:footnoteRef/>
      </w:r>
      <w:r>
        <w:rPr>
          <w:lang w:val="pt-PT"/>
        </w:rPr>
        <w:tab/>
        <w:t xml:space="preserve">JOIN(2016) 49 final </w:t>
      </w:r>
      <w:r>
        <w:t>της</w:t>
      </w:r>
      <w:r>
        <w:rPr>
          <w:lang w:val="pt-PT"/>
        </w:rPr>
        <w:t xml:space="preserve"> 10.11.2016.</w:t>
      </w:r>
    </w:p>
  </w:footnote>
  <w:footnote w:id="6">
    <w:p>
      <w:pPr>
        <w:pStyle w:val="FootnoteText"/>
        <w:rPr>
          <w:lang w:val="pt-PT"/>
        </w:rPr>
      </w:pPr>
      <w:r>
        <w:rPr>
          <w:rStyle w:val="FootnoteReference"/>
        </w:rPr>
        <w:footnoteRef/>
      </w:r>
      <w:r>
        <w:rPr>
          <w:lang w:val="pt-PT"/>
        </w:rPr>
        <w:tab/>
        <w:t xml:space="preserve">7348/1/17 REV 1 </w:t>
      </w:r>
      <w:r>
        <w:t>της</w:t>
      </w:r>
      <w:r>
        <w:rPr>
          <w:lang w:val="pt-PT"/>
        </w:rPr>
        <w:t xml:space="preserve"> 24.3.2017.</w:t>
      </w:r>
    </w:p>
  </w:footnote>
  <w:footnote w:id="7">
    <w:p>
      <w:pPr>
        <w:pStyle w:val="FootnoteText"/>
      </w:pPr>
      <w:r>
        <w:rPr>
          <w:rStyle w:val="FootnoteReference"/>
        </w:rPr>
        <w:footnoteRef/>
      </w:r>
      <w:r>
        <w:tab/>
        <w:t xml:space="preserve">Απόφαση του Δικαστηρίου της 7ης Οκτωβρίου 2014, </w:t>
      </w:r>
      <w:r>
        <w:rPr>
          <w:i/>
        </w:rPr>
        <w:t>Γερμανία</w:t>
      </w:r>
      <w:r>
        <w:t xml:space="preserve"> κατά </w:t>
      </w:r>
      <w:r>
        <w:rPr>
          <w:i/>
        </w:rPr>
        <w:t>Συμβουλίου</w:t>
      </w:r>
      <w:r>
        <w:t>, C-399/12, ECLI:EU:C:2014:2258, σκέψεις 61 έως 64.</w:t>
      </w:r>
    </w:p>
  </w:footnote>
  <w:footnote w:id="8">
    <w:p>
      <w:pPr>
        <w:pStyle w:val="FootnoteText"/>
      </w:pPr>
      <w:r>
        <w:rPr>
          <w:rStyle w:val="FootnoteReference"/>
        </w:rPr>
        <w:footnoteRef/>
      </w:r>
      <w:r>
        <w:tab/>
        <w:t>ΕΕ L 286 της 29.10.2008, σ. 1.</w:t>
      </w:r>
    </w:p>
  </w:footnote>
  <w:footnote w:id="9">
    <w:p>
      <w:pPr>
        <w:pStyle w:val="FootnoteText"/>
      </w:pPr>
      <w:r>
        <w:rPr>
          <w:rStyle w:val="FootnoteReference"/>
        </w:rPr>
        <w:footnoteRef/>
      </w:r>
      <w:r>
        <w:tab/>
        <w:t>ΕΕ L 343 της 22.12.2009, σ. 1.</w:t>
      </w:r>
    </w:p>
  </w:footnote>
  <w:footnote w:id="10">
    <w:p>
      <w:pPr>
        <w:pStyle w:val="FootnoteText"/>
      </w:pPr>
      <w:r>
        <w:rPr>
          <w:rStyle w:val="FootnoteReference"/>
        </w:rPr>
        <w:footnoteRef/>
      </w:r>
      <w:r>
        <w:tab/>
        <w:t>ΕΕ L 347 της 28.12.2017, σ. 81.</w:t>
      </w:r>
    </w:p>
  </w:footnote>
  <w:footnote w:id="11">
    <w:p>
      <w:pPr>
        <w:pStyle w:val="FootnoteText"/>
      </w:pPr>
      <w:r>
        <w:rPr>
          <w:rStyle w:val="FootnoteReference"/>
        </w:rPr>
        <w:footnoteRef/>
      </w:r>
      <w:r>
        <w:tab/>
      </w:r>
      <w:r>
        <w:rPr>
          <w:rStyle w:val="Strong"/>
          <w:b w:val="0"/>
        </w:rPr>
        <w:t>Πράξη περί των όρων προσχωρήσεως της Τσεχικής Δημοκρατίας, της Δημοκρατίας της Εσθονίας, της Κυπριακής Δημοκρατίας, της Δημοκρατίας της Λετονίας, της Δημοκρατίας της Λιθουανίας, της Δημοκρατίας της Ουγγαρίας, της Δημοκρατίας της Μάλτας, της Δημοκρατίας της Πολωνίας, της Δημοκρατίας της Σλοβενίας και της Σλοβακικής Δημοκρατίας και των προσαρμογών των Συνθηκών επί των οποίων βασίζεται η Ευρωπαϊκή Ένωση</w:t>
      </w:r>
      <w:r>
        <w:rPr>
          <w:b/>
        </w:rPr>
        <w:t xml:space="preserve">, </w:t>
      </w:r>
      <w:r>
        <w:t>ΕΕ L 236 της 23.9.2003, σ. 33.</w:t>
      </w:r>
    </w:p>
  </w:footnote>
  <w:footnote w:id="12">
    <w:p>
      <w:pPr>
        <w:pStyle w:val="FootnoteText"/>
      </w:pPr>
      <w:r>
        <w:rPr>
          <w:rStyle w:val="FootnoteReference"/>
        </w:rPr>
        <w:footnoteRef/>
      </w:r>
      <w:r>
        <w:tab/>
        <w:t>Κανονισμός (ΕΕ) αριθ. 1380/2013 του Ευρωπαϊκού Κοινοβουλίου και του Συμβουλίου, της 11ης Δεκεμβρίου 2013, σχετικά με την κοινή αλιευτική πολιτική, την τροποποίηση των κανονισμών (ΕΚ) αριθ. 1954/2003 και (ΕΚ) αριθ. 1224/2009 του Συμβουλίου και την κατάργηση των κανονισμών (ΕΚ) αριθ. 2371/2002 και (ΕΚ) αριθ. 639/2004 του Συμβουλίου και της απόφασης 2004/585/ΕΚ του Συμβουλίου (ΕΕ L 354 της 28.12.2013, σ. 22).</w:t>
      </w:r>
    </w:p>
  </w:footnote>
  <w:footnote w:id="13">
    <w:p>
      <w:pPr>
        <w:pStyle w:val="FootnoteText"/>
      </w:pPr>
      <w:r>
        <w:rPr>
          <w:rStyle w:val="FootnoteReference"/>
        </w:rPr>
        <w:footnoteRef/>
      </w:r>
      <w:r>
        <w:tab/>
        <w:t>JOIN(2016) 49 final της 10.11.2016.</w:t>
      </w:r>
    </w:p>
  </w:footnote>
  <w:footnote w:id="14">
    <w:p>
      <w:pPr>
        <w:pStyle w:val="FootnoteText"/>
      </w:pPr>
      <w:r>
        <w:rPr>
          <w:rStyle w:val="FootnoteReference"/>
        </w:rPr>
        <w:footnoteRef/>
      </w:r>
      <w:r>
        <w:tab/>
        <w:t>7348/1/17 REV 1 της 24.3.2017.</w:t>
      </w:r>
    </w:p>
  </w:footnote>
  <w:footnote w:id="15">
    <w:p>
      <w:pPr>
        <w:pStyle w:val="FootnoteText"/>
      </w:pPr>
      <w:r>
        <w:rPr>
          <w:rStyle w:val="FootnoteReference"/>
        </w:rPr>
        <w:footnoteRef/>
      </w:r>
      <w:r>
        <w:tab/>
        <w:t>COM(2018) 28 final της 16.1.2018.</w:t>
      </w:r>
    </w:p>
  </w:footnote>
  <w:footnote w:id="16">
    <w:p>
      <w:pPr>
        <w:pStyle w:val="FootnoteText"/>
      </w:pPr>
      <w:r>
        <w:rPr>
          <w:rStyle w:val="FootnoteReference"/>
        </w:rPr>
        <w:footnoteRef/>
      </w:r>
      <w:r>
        <w:tab/>
        <w:t>Κανονισμός (ΕΚ) αριθ. 1005/2008 του Συμβουλίου, περί δημιουργίας κοινοτικού συστήματος πρόληψης, αποτροπής και εξάλειψης της παράνομης, λαθραίας και άναρχης αλιείας, τροποποίησης των κανονισμών (ΕΟΚ) αριθ. 2847/93, (ΕΚ) αριθ. 1936/2001 και (ΕΚ) αριθ. 601/2004 και κατάργησης των κανονισμών (ΕΚ) αριθ. 1093/94 και (ΕΚ) αριθ. 1447/1999 (ΕΕ L 286 της 29.10.2008, σ. 1).</w:t>
      </w:r>
    </w:p>
  </w:footnote>
  <w:footnote w:id="17">
    <w:p>
      <w:pPr>
        <w:pStyle w:val="FootnoteText"/>
      </w:pPr>
      <w:r>
        <w:rPr>
          <w:rStyle w:val="FootnoteReference"/>
        </w:rPr>
        <w:footnoteRef/>
      </w:r>
      <w:r>
        <w:tab/>
        <w:t>Κανονισμός (ΕΚ) αριθ. 1224/2009 του Συμβουλίου, της 20ής Νοεμβρίου 2009, περί θεσπίσεως κοινοτικού συστήματος ελέγχου της τήρησης των κανόνων της κοινής αλιευτικής πολιτικής, τροποποιήσεως των κανονισμών (ΕΚ) αριθ. 847/96, (ΕΚ) αριθ. 2371/2002, (ΕΚ) αριθ. 811/2004, (ΕΚ) αριθ. 768/2005, (ΕΚ) αριθ. 2115/2005, (ΕΚ) αριθ. 2166/2005, (ΕΚ) αριθ. 388/2006, (ΕΚ) αριθ. 509/2007, (ΕΚ) αριθ. 676/2007, (ΕΚ) αριθ. 1098/2007, (ΕΚ) αριθ. 1300/2008, (ΕΚ) αριθ. 1342/2008 και καταργήσεως των κανονισμών (ΕΟΚ) αριθ. 2847/93, (ΕΚ) αριθ. 1627/94 και (ΕΚ) αριθ. 1966/2006 (ΕΕ L 343 της 22.12.2009, σ. 1).</w:t>
      </w:r>
    </w:p>
  </w:footnote>
  <w:footnote w:id="18">
    <w:p>
      <w:pPr>
        <w:pStyle w:val="FootnoteText"/>
      </w:pPr>
      <w:r>
        <w:rPr>
          <w:rStyle w:val="FootnoteReference"/>
        </w:rPr>
        <w:footnoteRef/>
      </w:r>
      <w:r>
        <w:tab/>
        <w:t>Κανονισμός (ΕΕ) 2017/2403 του Ευρωπαϊκού Κοινοβουλίου και του Συμβουλίου, της 12ης Δεκεμβρίου 2017, σχετικά με τη βιώσιμη διαχείριση των εξωτερικών αλιευτικών στόλων και την κατάργηση του κανονισμού (ΕΚ) αριθ. 1006/2008 του Συμβουλίου (ΕΕ L 347 της 28.12.2017, σ. 81).</w:t>
      </w:r>
    </w:p>
  </w:footnote>
  <w:footnote w:id="19">
    <w:p>
      <w:pPr>
        <w:pStyle w:val="FootnoteText"/>
      </w:pPr>
      <w:r>
        <w:rPr>
          <w:rStyle w:val="FootnoteReference"/>
        </w:rPr>
        <w:footnoteRef/>
      </w:r>
      <w:r>
        <w:tab/>
        <w:t>Απόφαση του Συμβουλίου της 30 Μαΐου 2017, για τον καθορισμό της θέσης που θα ληφθεί, εξ ονόματος της Ευρωπαϊκής Ένωσης, στην ετήσια διάσκεψη των συμβαλλόμενων μερών της σύμβασης για τη διατήρηση και διαχείριση των αποθεμάτων μπακαλιάρου της Αλάσκας στην κεντρική Βερίγγειο Θάλασσα, και για την κατάργηση της απόφασης του Συμβουλίου της 10ης Ιουλίου 2012, για τον καθορισμό της θέσης που πρέπει να ληφθεί εξ ονόματος της Ευρωπαϊκής Ένωσης στο πλαίσιο της σύμβασης για τη διατήρηση και διαχείριση των αποθεμάτων μπακαλιάρου της Αλάσκας στην κεντρική Βερίγγειο Θάλασσα.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5"/>
  </w:num>
  <w:num w:numId="11">
    <w:abstractNumId w:val="22"/>
    <w:lvlOverride w:ilvl="0">
      <w:startOverride w:val="1"/>
    </w:lvlOverride>
  </w:num>
  <w:num w:numId="12">
    <w:abstractNumId w:val="14"/>
    <w:lvlOverride w:ilvl="0">
      <w:startOverride w:val="1"/>
    </w:lvlOverride>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4"/>
  </w:num>
  <w:num w:numId="22">
    <w:abstractNumId w:val="17"/>
  </w:num>
  <w:num w:numId="23">
    <w:abstractNumId w:val="18"/>
  </w:num>
  <w:num w:numId="24">
    <w:abstractNumId w:val="10"/>
  </w:num>
  <w:num w:numId="25">
    <w:abstractNumId w:val="16"/>
  </w:num>
  <w:num w:numId="26">
    <w:abstractNumId w:val="22"/>
  </w:num>
  <w:num w:numId="27">
    <w:abstractNumId w:val="19"/>
  </w:num>
  <w:num w:numId="28">
    <w:abstractNumId w:val="12"/>
  </w:num>
  <w:num w:numId="29">
    <w:abstractNumId w:val="21"/>
  </w:num>
  <w:num w:numId="30">
    <w:abstractNumId w:val="11"/>
  </w:num>
  <w:num w:numId="31">
    <w:abstractNumId w:val="13"/>
  </w:num>
  <w:num w:numId="32">
    <w:abstractNumId w:val="9"/>
  </w:num>
  <w:num w:numId="33">
    <w:abstractNumId w:val="20"/>
  </w:num>
  <w:num w:numId="34">
    <w:abstractNumId w:val="8"/>
  </w:num>
  <w:num w:numId="35">
    <w:abstractNumId w:val="14"/>
  </w:num>
  <w:num w:numId="36">
    <w:abstractNumId w:val="17"/>
  </w:num>
  <w:num w:numId="37">
    <w:abstractNumId w:val="18"/>
  </w:num>
  <w:num w:numId="38">
    <w:abstractNumId w:val="10"/>
  </w:num>
  <w:num w:numId="39">
    <w:abstractNumId w:val="16"/>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7 13:24:4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E1385D5-F973-4191-A3CA-36832F5B9D8B"/>
    <w:docVar w:name="LW_COVERPAGE_TYPE" w:val="1"/>
    <w:docVar w:name="LW_CROSSREFERENCE" w:val="&lt;UNUSED&gt;"/>
    <w:docVar w:name="LW_DocType" w:val="COM"/>
    <w:docVar w:name="LW_EMISSION" w:val="8.3.2019"/>
    <w:docVar w:name="LW_EMISSION_ISODATE" w:val="2019-03-08"/>
    <w:docVar w:name="LW_EMISSION_LOCATION" w:val="BRX"/>
    <w:docVar w:name="LW_EMISSION_PREFIX" w:val="Βρυξέλλες,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058"/>
    <w:docVar w:name="LW_REF.II.NEW.CP_YEAR" w:val="2019"/>
    <w:docVar w:name="LW_REF.INST.NEW" w:val="COM"/>
    <w:docVar w:name="LW_REF.INST.NEW_ADOPTED" w:val="final"/>
    <w:docVar w:name="LW_REF.INST.NEW_TEXT" w:val="(2019) 10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63?\u967?\u949?\u964?\u953?\u954?\u940? \u956?\u949? \u964?\u951? \u952?\u941?\u963?\u951? \u960?\u959?\u965? \u960?\u961?\u941?\u960?\u949?\u953? \u957?\u945? \u955?\u951?\u966?\u952?\u949?\u943?, \u949?\u958? \u959?\u957?\u972?\u956?\u945?\u964?\u959?\u962? \u964?\u951?\u962? \u917?\u965?\u961?\u969?\u960?\u945?\u970?\u954?\u942?\u962? \u904?\u957?\u969?\u963?\u951?\u962?, \u963?\u964?\u951?\u957? \u949?\u964?\u942?\u963?\u953?\u945? \u948?\u953?\u940?\u963?\u954?\u949?\u968?\u951? \u964?\u969?\u957? \u963?\u965?\u956?\u946?\u945?\u955?\u955?\u972?\u956?\u949?\u957?\u969?\u957? \u956?\u949?\u961?\u974?\u957? \u964?\u951?\u962? \u963?\u973?\u956?\u946?\u945?\u963?\u951?\u962? \u947?\u953?\u945? \u964?\u951? \u948?\u953?\u945?\u964?\u942?\u961?\u951?\u963?\u951? \u954?\u945?\u953? \u948?\u953?\u945?\u967?\u949?\u943?\u961?\u953?\u963?\u951? \u964?\u969?\u957? \u945?\u960?\u959?\u952?\u949?\u956?\u940?\u964?\u969?\u957? \u956?\u960?\u945?\u954?\u945?\u955?\u953?\u940?\u961?\u959?\u965? \u964?\u951?\u962? \u913?\u955?\u940?\u963?\u954?\u945?\u962? \u963?\u964?\u951?\u957? \u954?\u949?\u957?\u964?\u961?\u953?\u954?\u942? \u914?\u949?\u961?\u943?\u947?\u947?\u949?\u953?\u959? \u920?\u940?\u955?\u945?\u963?\u963?\u945? \u954?\u945?\u953? \u947?\u953?\u945? \u964?\u951?\u957? \u954?\u945?\u964?\u940?\u961?\u947?\u951?\u963?\u951? \u964?\u951?\u962? \u945?\u960?\u972?\u966?\u945?\u963?\u951?\u962? 9782/17"/>
    <w:docVar w:name="LW_TYPE.DOC.CP" w:val="\u913?\u928?\u927?\u934?\u913?\u931?\u919? \u932?\u927?\u933? \u931?\u933?\u924?\u914?\u927?\u933?\u923?\u921?\u927?\u933?"/>
    <w:docVar w:name="Stamp" w:val="\\dossiers.dgt.cec.eu.int\dossiers\MARE\MARE-2018-00541\MARE-2018-00541-00-11-EN-EDT-00.201812071255310018343.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0"/>
      </w:numPr>
      <w:spacing w:line="360" w:lineRule="auto"/>
      <w:jc w:val="left"/>
      <w:outlineLvl w:val="0"/>
    </w:pPr>
    <w:rPr>
      <w:rFonts w:eastAsia="Times New Roman"/>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0"/>
      </w:numPr>
      <w:spacing w:line="360" w:lineRule="auto"/>
      <w:jc w:val="left"/>
      <w:outlineLvl w:val="0"/>
    </w:pPr>
    <w:rPr>
      <w:rFonts w:eastAsia="Times New Roman"/>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276469">
      <w:bodyDiv w:val="1"/>
      <w:marLeft w:val="0"/>
      <w:marRight w:val="0"/>
      <w:marTop w:val="0"/>
      <w:marBottom w:val="0"/>
      <w:divBdr>
        <w:top w:val="none" w:sz="0" w:space="0" w:color="auto"/>
        <w:left w:val="none" w:sz="0" w:space="0" w:color="auto"/>
        <w:bottom w:val="none" w:sz="0" w:space="0" w:color="auto"/>
        <w:right w:val="none" w:sz="0" w:space="0" w:color="auto"/>
      </w:divBdr>
      <w:divsChild>
        <w:div w:id="688145567">
          <w:marLeft w:val="0"/>
          <w:marRight w:val="0"/>
          <w:marTop w:val="0"/>
          <w:marBottom w:val="0"/>
          <w:divBdr>
            <w:top w:val="none" w:sz="0" w:space="0" w:color="auto"/>
            <w:left w:val="none" w:sz="0" w:space="0" w:color="auto"/>
            <w:bottom w:val="none" w:sz="0" w:space="0" w:color="auto"/>
            <w:right w:val="none" w:sz="0" w:space="0" w:color="auto"/>
          </w:divBdr>
        </w:div>
        <w:div w:id="672218183">
          <w:marLeft w:val="0"/>
          <w:marRight w:val="0"/>
          <w:marTop w:val="0"/>
          <w:marBottom w:val="0"/>
          <w:divBdr>
            <w:top w:val="none" w:sz="0" w:space="0" w:color="auto"/>
            <w:left w:val="none" w:sz="0" w:space="0" w:color="auto"/>
            <w:bottom w:val="none" w:sz="0" w:space="0" w:color="auto"/>
            <w:right w:val="none" w:sz="0" w:space="0" w:color="auto"/>
          </w:divBdr>
        </w:div>
        <w:div w:id="2127893377">
          <w:marLeft w:val="0"/>
          <w:marRight w:val="0"/>
          <w:marTop w:val="0"/>
          <w:marBottom w:val="0"/>
          <w:divBdr>
            <w:top w:val="none" w:sz="0" w:space="0" w:color="auto"/>
            <w:left w:val="none" w:sz="0" w:space="0" w:color="auto"/>
            <w:bottom w:val="none" w:sz="0" w:space="0" w:color="auto"/>
            <w:right w:val="none" w:sz="0" w:space="0" w:color="auto"/>
          </w:divBdr>
        </w:div>
        <w:div w:id="1281716434">
          <w:marLeft w:val="0"/>
          <w:marRight w:val="0"/>
          <w:marTop w:val="0"/>
          <w:marBottom w:val="0"/>
          <w:divBdr>
            <w:top w:val="none" w:sz="0" w:space="0" w:color="auto"/>
            <w:left w:val="none" w:sz="0" w:space="0" w:color="auto"/>
            <w:bottom w:val="none" w:sz="0" w:space="0" w:color="auto"/>
            <w:right w:val="none" w:sz="0" w:space="0" w:color="auto"/>
          </w:divBdr>
        </w:div>
        <w:div w:id="1245532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9F0AF-6E84-4538-AFA8-0888FA31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9</Pages>
  <Words>2520</Words>
  <Characters>14440</Characters>
  <Application>Microsoft Office Word</Application>
  <DocSecurity>0</DocSecurity>
  <Lines>257</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2019-02-15T10:56:00Z</dcterms:created>
  <dcterms:modified xsi:type="dcterms:W3CDTF">2019-03-07T12:24:00Z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