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91C3846-A77B-4893-ADF4-90FBCB397FC9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 I.</w:t>
      </w:r>
    </w:p>
    <w:p>
      <w:pPr>
        <w:pStyle w:val="Header"/>
        <w:jc w:val="center"/>
        <w:rPr>
          <w:b/>
          <w:noProof/>
        </w:rPr>
      </w:pPr>
      <w:r>
        <w:rPr>
          <w:noProof/>
        </w:rPr>
        <w:t>Stajalište koje u ime Unije treba zauzeti u Proširenoj komisiji Konvencije za očuvanje južne plavoperajne tune (CCSBT)</w:t>
      </w:r>
    </w:p>
    <w:p>
      <w:pPr>
        <w:pStyle w:val="Heading1"/>
        <w:numPr>
          <w:ilvl w:val="0"/>
          <w:numId w:val="5"/>
        </w:numPr>
        <w:rPr>
          <w:noProof/>
        </w:rPr>
      </w:pPr>
      <w:r>
        <w:rPr>
          <w:noProof/>
        </w:rPr>
        <w:t>NAČELA</w:t>
      </w:r>
    </w:p>
    <w:p>
      <w:pPr>
        <w:rPr>
          <w:noProof/>
        </w:rPr>
      </w:pPr>
      <w:r>
        <w:rPr>
          <w:noProof/>
        </w:rPr>
        <w:t>Unija u okviru CCSBT-a:</w:t>
      </w:r>
    </w:p>
    <w:p>
      <w:pPr>
        <w:pStyle w:val="Point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djeluje u skladu s ciljevima i načelima Unije utvrđenima u okviru zajedničke ribarstvene politike (ZRP), posebno primjenom predostrožnog pristupa i s pomoću ciljeva povezanih s najvećim održivim prinosom kako je utvrđeno člankom 2. stavkom 2. Uredbe (EU) br. 1380/2013, kako bi se promicala primjena pristupa upravljanju ribarstvom temeljenog na ekosustavu, kako bi se u najvećoj mogućoj mjeri izbjegao i smanjio neželjeni ulov i postupno napustila praksa odbacivanja ulova te kako bi se utjecaj ribolovnih aktivnosti na morske ekosustave i njihova staništa smanjio na najmanju moguću razinu, te promicanjem gospodarski održivog i konkurentnog ribolova Unije kako bi se osigurao primjeren životni standard za osobe koje ovise o ribolovnim aktivnostima te uzeli u obzir interesi potrošača;</w:t>
      </w:r>
    </w:p>
    <w:p>
      <w:pPr>
        <w:pStyle w:val="Point0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radi na primjerenom uključivanju dionika u pripremnu fazu izrade mjera CCSBT-a i osigurava da su mjere donesene u CCSBT-u u skladu s Konvencijom CSBT-a;</w:t>
      </w:r>
    </w:p>
    <w:p>
      <w:pPr>
        <w:pStyle w:val="Point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osigurava da su mjere donesene u okviru CCSBT-a usklađene s međunarodnim pravom, a posebno s odredbama Konvencije UN-a o pravu mora iz 1982., Sporazuma UN-a iz 1995. u pogledu očuvanja i upravljanja pograničnim ribljim stokovima i vrlo migratornim ribljim stokovima te Sporazuma o promicanju usklađivanja ribarskih plovila na otvorenom moru s međunarodnim mjerama očuvanja i upravljanja iz 1993. i Sporazuma Organizacije za hranu i poljoprivredu o mjerama države luke iz 2009.;</w:t>
      </w:r>
    </w:p>
    <w:p>
      <w:pPr>
        <w:pStyle w:val="Point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tab/>
        <w:t>promiče stajališta koja su u skladu s najboljim praksama regionalnih organizacija za upravljanje ribarstvom (RFMO-i) na istom području;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e) </w:t>
      </w:r>
      <w:r>
        <w:rPr>
          <w:noProof/>
        </w:rPr>
        <w:tab/>
        <w:t>nastoji ostvariti usklađenost i sinergiju s politikom koju Unija provodi kao dio svojih bilateralnih odnosa u području ribarstva s trećim zemljama i osigurava usklađenost s njezinim drugim politikama, posebno u području vanjskih odnosa, zapošljavanja, okoliša, trgovine, razvoja, istraživanja i inovacija;</w:t>
      </w:r>
    </w:p>
    <w:p>
      <w:pPr>
        <w:pStyle w:val="Point0"/>
        <w:rPr>
          <w:noProof/>
          <w:szCs w:val="24"/>
        </w:rPr>
      </w:pPr>
      <w:r>
        <w:rPr>
          <w:noProof/>
        </w:rPr>
        <w:t>f)</w:t>
      </w:r>
      <w:r>
        <w:rPr>
          <w:noProof/>
        </w:rPr>
        <w:tab/>
        <w:t>osigurava poštovanje međunarodnih obveza Unije;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g) </w:t>
      </w:r>
      <w:r>
        <w:rPr>
          <w:noProof/>
        </w:rPr>
        <w:tab/>
        <w:t>postupa u skladu sa zaključcima Vijeća od 19. ožujka 2012. o Komunikaciji Komisije o vanjskoj dimenziji zajedničke ribarstvene politike</w:t>
      </w:r>
      <w:r>
        <w:rPr>
          <w:rStyle w:val="FootnoteReference"/>
          <w:noProof/>
        </w:rPr>
        <w:footnoteReference w:id="1"/>
      </w:r>
      <w:r>
        <w:rPr>
          <w:noProof/>
        </w:rPr>
        <w:t>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h) </w:t>
      </w:r>
      <w:r>
        <w:rPr>
          <w:noProof/>
        </w:rPr>
        <w:tab/>
        <w:t>nastoji stvoriti jednake uvjete za flotu Unije na području distribucije južne plavoperajne tune na temelju istih načela i standarda koji se primjenjuju na temelju zakonodavstva Unije te promicati ujednačenu provedbu tih načela i standarda;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i) </w:t>
      </w:r>
      <w:r>
        <w:rPr>
          <w:noProof/>
        </w:rPr>
        <w:tab/>
        <w:t>postupa u skladu sa Zajedničkom komunikacijom Visokog predstavnika Unije za vanjske poslove i sigurnosnu politiku i Europske komisije pod naslovom „</w:t>
      </w:r>
      <w:r>
        <w:rPr>
          <w:i/>
          <w:noProof/>
        </w:rPr>
        <w:t>Međunarodno upravljanje oceanima</w:t>
      </w:r>
      <w:r>
        <w:rPr>
          <w:noProof/>
        </w:rPr>
        <w:t>:</w:t>
      </w:r>
      <w:r>
        <w:rPr>
          <w:i/>
          <w:noProof/>
        </w:rPr>
        <w:t xml:space="preserve"> plan za budućnost naših oceana</w:t>
      </w:r>
      <w:r>
        <w:rPr>
          <w:noProof/>
        </w:rPr>
        <w:t>”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i zaključcima Vijeća o toj zajedničkoj komunikaciji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te promiče mjere za potporu i povećanje učinkovitosti CCSBT-a i, ako je relevantno, poboljšava njegovo upravljanje i rad (osobito u pogledu znanosti, sukladnosti, transparentnosti i donošenja odluka) kao doprinos održivom upravljanju oceanima u svim njegovim dimenzijama;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j) </w:t>
      </w:r>
      <w:r>
        <w:rPr>
          <w:noProof/>
        </w:rPr>
        <w:tab/>
        <w:t xml:space="preserve">promiče koordinaciju između RFMO-a i regionalnih konvencija o moru te, kako je primjenjivo, suradnju sa svjetskim organizacijama u okviru njihovih ovlaštenja, ako je primjereno; </w:t>
      </w:r>
    </w:p>
    <w:p>
      <w:pPr>
        <w:pStyle w:val="Point0"/>
        <w:rPr>
          <w:noProof/>
          <w:szCs w:val="24"/>
        </w:rPr>
      </w:pPr>
      <w:r>
        <w:rPr>
          <w:noProof/>
        </w:rPr>
        <w:t>k)</w:t>
      </w:r>
      <w:r>
        <w:rPr>
          <w:noProof/>
        </w:rPr>
        <w:tab/>
        <w:t>promiče koordinaciju i suradnju s drugim RFMO-ima za tunu u pitanjima od zajedničkog interesa, posebno ponovnom aktivacijom takozvanog postupka iz Kobea za RFMO-e za tunu i njegovim proširivanjem na sve RFMO-e.</w:t>
      </w:r>
    </w:p>
    <w:p>
      <w:pPr>
        <w:pStyle w:val="Heading1"/>
        <w:rPr>
          <w:noProof/>
        </w:rPr>
      </w:pPr>
      <w:r>
        <w:rPr>
          <w:noProof/>
        </w:rPr>
        <w:t>SMJERNICE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Unija nastoji, prema potrebi, podupirati donošenje sljedećih mjera od strane CCSBT-a:</w:t>
      </w:r>
    </w:p>
    <w:p>
      <w:pPr>
        <w:pStyle w:val="Point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mjere očuvanja i upravljanja ribolovnim resursima na području distribucije južne plavoperajne tune na temelju najboljih dostupnih znanstvenih savjeta, uključujući ukupni dopušteni ulov (TAC) i kvote ili napor za žive morske biološke resurse koje regulira CCSBT, kojima bi se najkasnije do 2020. progresivno i postupno ostvarila stopa iskorištenosti koja može osigurati najviši održivi prinos. Prema potrebi, te mjere očuvanja i upravljanja obuhvaćaju posebne mjere za stokove izložene prelovu kako bi ribolovni napor ostao u skladu s dostupnim ribolovnim mogućnostima;</w:t>
      </w:r>
    </w:p>
    <w:p>
      <w:pPr>
        <w:pStyle w:val="Point0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mjere za sprečavanje nezakonitih, neprijavljenih i nereguliranih ribolovnih aktivnosti, odvraćanje od njih i njihovo zaustavljanje na području distribucije južne plavoperajne tune, uključujući popis plovila koja obavljaju takav ribolov;</w:t>
      </w:r>
    </w:p>
    <w:p>
      <w:pPr>
        <w:pStyle w:val="Point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mjere praćenja, kontrole i nadzora na području distribucije južne plavoperajne tune kako bi se osigurala učinkovitost kontrole i sukladnost s mjerama donesenima u okviru CCSBT-a;</w:t>
      </w:r>
    </w:p>
    <w:p>
      <w:pPr>
        <w:pStyle w:val="Point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tab/>
        <w:t>mjere za smanjenje negativnih posljedica ribolovnih aktivnosti i akvakulture na morsku bioraznolikost i morske ekosustave i njihova staništa, uključujući mjere za smanjenje onečišćenja mora i sprečavanje bacanja plastike u more te smanjenje utjecaja plastike koja se nalazi na moru na morsku bioraznolikost i ekosustave, zaštitne mjere za osjetljive morske ekosustave na području distribucije južne plavoperajne tune u skladu s rezolucijama Opće skupštine UN-a te mjere za najveće moguće izbjegavanje i smanjivanje neželjenog ulova, osobito osjetljivih morskih vrsta, te za postupno napuštanje prakse odbacivanja ulova;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mjere za kontrolu uporabe uređaja za privlačenje ribe (FAD uređaji), osobito radi poboljšanja prikupljanja podataka, kvantificiranja i praćenja uporabe FAD uređaja, smanjenja posljedica na osjetljive stokove tune, ublažavanja njihovih potencijalnih posljedica na ciljne i neciljne vrste te na ekosustav i smanjenja morskog otpada;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mjere za smanjenje posljedica ostavljenog, izgubljenog ili na drugi način odbačenog ribolovnog alata u oceanu i olakšavanje pronalaženja i uklanjanja takvog alata; </w:t>
      </w:r>
    </w:p>
    <w:p>
      <w:pPr>
        <w:pStyle w:val="Point0"/>
        <w:rPr>
          <w:noProof/>
        </w:rPr>
      </w:pPr>
      <w:r>
        <w:rPr>
          <w:noProof/>
        </w:rPr>
        <w:t xml:space="preserve">g) </w:t>
      </w:r>
      <w:r>
        <w:rPr>
          <w:noProof/>
        </w:rPr>
        <w:tab/>
        <w:t>mjere kojima je cilj zabrana ribolova koji se obavlja samo radi izlova peraja morskog psa i kojima se zahtijeva da se svi morski psi iskrcaju sa svim perajama prirodno povezanima s trupom;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preporuke, prema potrebi i u mjeri u kojoj je to dopušteno u skladu s relevantnim osnivačkim dokumentima, kojima se potiče provedba Konvencije o radu u ribolovu Međunarodne organizacije rada (ILO);</w:t>
      </w:r>
    </w:p>
    <w:p>
      <w:pPr>
        <w:pStyle w:val="Point0"/>
        <w:rPr>
          <w:noProof/>
        </w:rPr>
      </w:pPr>
      <w:r>
        <w:rPr>
          <w:noProof/>
        </w:rPr>
        <w:t xml:space="preserve">i) </w:t>
      </w:r>
      <w:r>
        <w:rPr>
          <w:noProof/>
        </w:rPr>
        <w:tab/>
        <w:t xml:space="preserve">dodatne tehničke mjere koje se temelje na savjetima pomoćnih tijela i radnih skupina CCSBT-a. 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PRILOG II.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u w:val="single"/>
        </w:rPr>
        <w:t>Godišnje usklađivanje stajališta Unije koje treba zauzeti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u w:val="single"/>
        </w:rPr>
        <w:t xml:space="preserve">na sastancima Proširene komisije za očuvanje južne plavoperajne tune </w:t>
      </w:r>
    </w:p>
    <w:p>
      <w:pPr>
        <w:jc w:val="center"/>
        <w:rPr>
          <w:rFonts w:eastAsia="Calibri"/>
          <w:b/>
          <w:i/>
          <w:strike/>
          <w:noProof/>
          <w:szCs w:val="20"/>
          <w:u w:val="single"/>
        </w:rPr>
      </w:pPr>
    </w:p>
    <w:p>
      <w:pPr>
        <w:rPr>
          <w:rFonts w:eastAsia="Calibri"/>
          <w:noProof/>
          <w:szCs w:val="20"/>
        </w:rPr>
      </w:pPr>
      <w:r>
        <w:rPr>
          <w:noProof/>
        </w:rPr>
        <w:t>Prije svakog sastanka Proširene komisije CCSBT-a, kada se to tijelo pozove na donošenje odluka koje proizvode pravne učinke za Uniju, poduzimaju se potrebni koraci kako bi se u stajalištu koje u ime Unije treba iznijeti uzele u obzir najnovije znanstvene i druge relevantne informacije dostavljene Komisiji, u skladu s načelima i smjernicama utvrđenima u Prilogu I.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U tu svrhu i na temelju tih podataka Komisija Vijeću ili njegovim pripremnim tijelima pravovremeno prije svakog sastanka CCSBT-a dostavlja pisani dokument u kojem se utvrđuju pojedinosti predloženog usklađivanja stajališta Unije za raspravu i prihvaćanje pojedinosti stajališta koje treba iznijeti u ime Unije.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Ako na sastanku Proširene komisije CCSBT-a ili na licu mjesta nije moguće postići dogovor kako bi se u stajalištu Unije uzeli u obzir novi elementi, pitanje se upućuje Vijeću ili njegovim pripremnim tijelima.</w:t>
      </w: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7087/12 REV 1 ADD 1 COR 1.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JOIN(2016) 49 final od 10.11.2016.</w:t>
      </w:r>
    </w:p>
  </w:footnote>
  <w:footnote w:id="3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7348/1/17 REV 1 od 24.3.2017.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118BE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78A8C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8FEB2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884D0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62469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A5866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E7ACF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BF49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8 10:34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691C3846-A77B-4893-ADF4-90FBCB397FC9"/>
    <w:docVar w:name="LW_COVERPAGE_TYPE" w:val="1"/>
    <w:docVar w:name="LW_CROSSREFERENCE" w:val="&lt;UNUSED&gt;"/>
    <w:docVar w:name="LW_DocType" w:val="ANNEX"/>
    <w:docVar w:name="LW_EMISSION" w:val="8.3.2019."/>
    <w:docVar w:name="LW_EMISSION_ISODATE" w:val="2019-03-08"/>
    <w:docVar w:name="LW_EMISSION_LOCATION" w:val="BRX"/>
    <w:docVar w:name="LW_EMISSION_PREFIX" w:val="Bruxelles, "/>
    <w:docVar w:name="LW_EMISSION_SUFFIX" w:val="&lt;EMPTY&gt;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stajali\u353?tu koje u ime Europske unije treba zauzeti u Pro\u353?irenoj komisiji Konvencije za o\u269?uvanje ju\u382?ne plavoperajne tune (CCSBT) i o stavljanju izvan snage Odluke&lt;LWCR:NBS&gt;10125/14_x000b_"/>
    <w:docVar w:name="LW_OBJETACTEPRINCIPAL.CP" w:val="o stajali\u353?tu koje u ime Europske unije treba zauzeti u Pro\u353?irenoj komisiji Konvencije za o\u269?uvanje ju\u382?ne plavoperajne tune (CCSBT) i o stavljanju izvan snage Odluke 10125/14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1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ZI"/>
    <w:docVar w:name="LW_TYPE.DOC.CP" w:val="PRILOZI"/>
    <w:docVar w:name="LW_TYPEACTEPRINCIPAL" w:val="Prijedlogu odluke Vije\u263?a"/>
    <w:docVar w:name="LW_TYPEACTEPRINCIPAL.CP" w:val="Prijedlogu odluk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1018</Words>
  <Characters>6145</Characters>
  <Application>Microsoft Office Word</Application>
  <DocSecurity>0</DocSecurity>
  <Lines>105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MOLLEDO Luis (MARE)</dc:creator>
  <cp:lastModifiedBy>WES PDFC Administrator</cp:lastModifiedBy>
  <cp:revision>8</cp:revision>
  <cp:lastPrinted>2019-01-15T14:41:00Z</cp:lastPrinted>
  <dcterms:created xsi:type="dcterms:W3CDTF">2019-02-28T12:16:00Z</dcterms:created>
  <dcterms:modified xsi:type="dcterms:W3CDTF">2019-03-08T09:34:00Z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