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27D" w:rsidRDefault="00406850">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5ABADD0-87E9-4BDF-8E46-79DDB342494E" style="width:450pt;height:321pt">
            <v:imagedata r:id="rId8" o:title=""/>
          </v:shape>
        </w:pict>
      </w:r>
    </w:p>
    <w:bookmarkEnd w:id="0"/>
    <w:p w:rsidR="0021727D" w:rsidRDefault="0021727D">
      <w:pPr>
        <w:rPr>
          <w:noProof/>
        </w:rPr>
        <w:sectPr w:rsidR="0021727D">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26"/>
        </w:sectPr>
      </w:pPr>
    </w:p>
    <w:p w:rsidR="0021727D" w:rsidRDefault="00406850">
      <w:pPr>
        <w:pStyle w:val="ListParagraph"/>
        <w:numPr>
          <w:ilvl w:val="0"/>
          <w:numId w:val="2"/>
        </w:numPr>
        <w:jc w:val="both"/>
        <w:rPr>
          <w:rFonts w:ascii="Times New Roman" w:hAnsi="Times New Roman"/>
          <w:b/>
          <w:noProof/>
          <w:sz w:val="24"/>
          <w:szCs w:val="24"/>
        </w:rPr>
      </w:pPr>
      <w:r>
        <w:rPr>
          <w:rFonts w:ascii="Times New Roman" w:hAnsi="Times New Roman"/>
          <w:b/>
          <w:noProof/>
          <w:sz w:val="24"/>
        </w:rPr>
        <w:lastRenderedPageBreak/>
        <w:t>INTRODUCERE</w:t>
      </w:r>
    </w:p>
    <w:p w:rsidR="0021727D" w:rsidRDefault="0021727D">
      <w:pPr>
        <w:jc w:val="both"/>
        <w:rPr>
          <w:rFonts w:ascii="Times New Roman" w:hAnsi="Times New Roman"/>
          <w:b/>
          <w:noProof/>
          <w:color w:val="000000"/>
          <w:sz w:val="24"/>
          <w:szCs w:val="24"/>
        </w:rPr>
      </w:pPr>
    </w:p>
    <w:p w:rsidR="0021727D" w:rsidRDefault="00406850">
      <w:pPr>
        <w:jc w:val="both"/>
        <w:rPr>
          <w:rFonts w:ascii="Times New Roman" w:hAnsi="Times New Roman"/>
          <w:noProof/>
          <w:color w:val="000000"/>
          <w:sz w:val="24"/>
          <w:szCs w:val="24"/>
        </w:rPr>
      </w:pPr>
      <w:r>
        <w:rPr>
          <w:rFonts w:ascii="Times New Roman" w:hAnsi="Times New Roman"/>
          <w:noProof/>
          <w:color w:val="000000"/>
          <w:sz w:val="24"/>
        </w:rPr>
        <w:t xml:space="preserve">În ultimii patru ani UE a depus eforturi fără precedent pentru a răspunde provocării pe care o reprezintă migrația, ceea ce a </w:t>
      </w:r>
      <w:r>
        <w:rPr>
          <w:rFonts w:ascii="Times New Roman" w:hAnsi="Times New Roman"/>
          <w:noProof/>
          <w:color w:val="000000"/>
          <w:sz w:val="24"/>
        </w:rPr>
        <w:t>contribuit la reducerea numărului de sosiri neregulamentare, care a ajuns la cel mai scăzut nivel din ultimii 5 ani. UE a oferit protecție și sprijin pentru milioane de persoane, salvând vieți omenești pe mare și îmbunătățind condițiile și mijloacele de su</w:t>
      </w:r>
      <w:r>
        <w:rPr>
          <w:rFonts w:ascii="Times New Roman" w:hAnsi="Times New Roman"/>
          <w:noProof/>
          <w:color w:val="000000"/>
          <w:sz w:val="24"/>
        </w:rPr>
        <w:t>bzistență. A ajutat statele membre să gestioneze un număr mare de sosiri la frontierele externe și a finanțat numeroase proiecte, în întreaga UE, pentru a sprijini integrarea refugiaților și</w:t>
      </w:r>
      <w:r>
        <w:rPr>
          <w:noProof/>
        </w:rPr>
        <w:t xml:space="preserve"> </w:t>
      </w:r>
      <w:r>
        <w:rPr>
          <w:rFonts w:ascii="Times New Roman" w:hAnsi="Times New Roman"/>
          <w:noProof/>
          <w:sz w:val="24"/>
        </w:rPr>
        <w:t>a altor resortisanți ai țărilor terțe aflați în situație de ședer</w:t>
      </w:r>
      <w:r>
        <w:rPr>
          <w:rFonts w:ascii="Times New Roman" w:hAnsi="Times New Roman"/>
          <w:noProof/>
          <w:sz w:val="24"/>
        </w:rPr>
        <w:t xml:space="preserve">e legală. UE a contribuit, de asemenea, la prevenirea migrației neregulamentare, inclusiv prin combaterea rețelelor de persoane care introduc ilegal migranți, precum și la combaterea traficului de persoane, </w:t>
      </w:r>
      <w:r>
        <w:rPr>
          <w:rFonts w:ascii="Times New Roman" w:hAnsi="Times New Roman"/>
          <w:noProof/>
          <w:color w:val="000000"/>
          <w:sz w:val="24"/>
        </w:rPr>
        <w:t>a colaborat cu parteneri din întreaga lume pentru</w:t>
      </w:r>
      <w:r>
        <w:rPr>
          <w:rFonts w:ascii="Times New Roman" w:hAnsi="Times New Roman"/>
          <w:noProof/>
          <w:color w:val="000000"/>
          <w:sz w:val="24"/>
        </w:rPr>
        <w:t xml:space="preserve"> a aborda cauzele profunde ale migrației neregulamentare și pentru a promova gestionarea ordonată a fluxurilor de migrație, inclusiv readmisia migranților aflați în situație de ședere neregulamentară în UE</w:t>
      </w:r>
      <w:r>
        <w:rPr>
          <w:rFonts w:ascii="Times New Roman" w:hAnsi="Times New Roman"/>
          <w:noProof/>
          <w:sz w:val="24"/>
        </w:rPr>
        <w:t xml:space="preserve">, </w:t>
      </w:r>
      <w:r>
        <w:rPr>
          <w:rFonts w:ascii="Times New Roman" w:hAnsi="Times New Roman"/>
          <w:noProof/>
          <w:color w:val="000000"/>
          <w:sz w:val="24"/>
        </w:rPr>
        <w:t>și a depus eforturi pentru crearea unor căi legal</w:t>
      </w:r>
      <w:r>
        <w:rPr>
          <w:rFonts w:ascii="Times New Roman" w:hAnsi="Times New Roman"/>
          <w:noProof/>
          <w:color w:val="000000"/>
          <w:sz w:val="24"/>
        </w:rPr>
        <w:t>e de intrare în UE ca alternative la traseele periculoase de introducere ilegală a migranților. În acest sens, au fost continuate, ca parte a unei abordări cuprinzătoare, toate componentele Agendei europene privind migrația</w:t>
      </w:r>
      <w:r>
        <w:rPr>
          <w:rStyle w:val="FootnoteReference"/>
          <w:rFonts w:ascii="Times New Roman" w:hAnsi="Times New Roman"/>
          <w:noProof/>
          <w:color w:val="000000"/>
          <w:sz w:val="24"/>
        </w:rPr>
        <w:footnoteReference w:id="2"/>
      </w:r>
      <w:r>
        <w:rPr>
          <w:rFonts w:ascii="Times New Roman" w:hAnsi="Times New Roman"/>
          <w:noProof/>
          <w:color w:val="000000"/>
          <w:sz w:val="24"/>
        </w:rPr>
        <w:t>, publicată în 2015.</w:t>
      </w:r>
    </w:p>
    <w:p w:rsidR="0021727D" w:rsidRDefault="0021727D">
      <w:pPr>
        <w:jc w:val="both"/>
        <w:rPr>
          <w:rFonts w:ascii="Times New Roman" w:hAnsi="Times New Roman"/>
          <w:noProof/>
          <w:color w:val="000000"/>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86"/>
      </w:tblGrid>
      <w:tr w:rsidR="0021727D">
        <w:tc>
          <w:tcPr>
            <w:tcW w:w="9286" w:type="dxa"/>
          </w:tcPr>
          <w:p w:rsidR="0021727D" w:rsidRDefault="00406850">
            <w:pPr>
              <w:pBdr>
                <w:top w:val="single" w:sz="4" w:space="1" w:color="auto"/>
                <w:left w:val="single" w:sz="4" w:space="4" w:color="auto"/>
                <w:bottom w:val="single" w:sz="4" w:space="1" w:color="auto"/>
                <w:right w:val="single" w:sz="4" w:space="4" w:color="auto"/>
              </w:pBd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Principalele progrese înregistrate în cadrul Agendei europene privind migrația</w:t>
            </w:r>
          </w:p>
          <w:p w:rsidR="0021727D" w:rsidRDefault="0040685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 xml:space="preserve">În 2018, au fost detectate aproximativ 150 000 de sosiri neregulamentare la frontierele externe ale UE, cu 25 % mai puțin față de 2017. Acesta a fost nivelul cel mai scăzut din </w:t>
            </w:r>
            <w:r>
              <w:rPr>
                <w:rFonts w:ascii="Times New Roman" w:hAnsi="Times New Roman"/>
                <w:noProof/>
                <w:color w:val="000000"/>
                <w:sz w:val="24"/>
              </w:rPr>
              <w:t xml:space="preserve">ultimii cinci ani, cu mai mult de 90 % sub nivelul din 2015, când s-a înregistrat un număr record de migranți. </w:t>
            </w:r>
          </w:p>
          <w:p w:rsidR="0021727D" w:rsidRDefault="0040685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Începând din 2015, acțiunea UE a contribuit la realizarea a aproximativ 730 000 de salvări pe mare.</w:t>
            </w:r>
          </w:p>
          <w:p w:rsidR="0021727D" w:rsidRDefault="0040685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Milioane de solicitanți de azil, refugiați ș</w:t>
            </w:r>
            <w:r>
              <w:rPr>
                <w:rFonts w:ascii="Times New Roman" w:hAnsi="Times New Roman"/>
                <w:noProof/>
                <w:color w:val="000000"/>
                <w:sz w:val="24"/>
              </w:rPr>
              <w:t>i persoane strămutate au beneficiat de programe finanțate de Fondul fiduciar de urgență al UE pentru Africa</w:t>
            </w:r>
            <w:r>
              <w:rPr>
                <w:rStyle w:val="FootnoteReference"/>
                <w:rFonts w:ascii="Times New Roman" w:hAnsi="Times New Roman"/>
                <w:noProof/>
                <w:color w:val="000000"/>
                <w:sz w:val="24"/>
              </w:rPr>
              <w:footnoteReference w:id="3"/>
            </w:r>
            <w:r>
              <w:rPr>
                <w:rFonts w:ascii="Times New Roman" w:hAnsi="Times New Roman"/>
                <w:noProof/>
                <w:color w:val="000000"/>
                <w:sz w:val="24"/>
              </w:rPr>
              <w:t>: peste 5,3 milioane de persoane vulnerabile au obținut un sprijin de bază, aproximativ un milion de persoane au fost informate prin campanii de com</w:t>
            </w:r>
            <w:r>
              <w:rPr>
                <w:rFonts w:ascii="Times New Roman" w:hAnsi="Times New Roman"/>
                <w:noProof/>
                <w:color w:val="000000"/>
                <w:sz w:val="24"/>
              </w:rPr>
              <w:t>unicare și peste 60 000 de persoane au primit sprijin pentru reintegrare după returnare.</w:t>
            </w:r>
          </w:p>
          <w:p w:rsidR="0021727D" w:rsidRDefault="0040685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sz w:val="24"/>
                <w:szCs w:val="24"/>
              </w:rPr>
            </w:pPr>
            <w:r>
              <w:rPr>
                <w:rFonts w:ascii="Times New Roman" w:hAnsi="Times New Roman"/>
                <w:noProof/>
                <w:sz w:val="24"/>
              </w:rPr>
              <w:t>Fondul fiduciar de urgență pentru Africa a fost, de asemenea, esențial pentru returnarea umanitară voluntară din Libia în țările lor de origine, de la începutul anului</w:t>
            </w:r>
            <w:r>
              <w:rPr>
                <w:rFonts w:ascii="Times New Roman" w:hAnsi="Times New Roman"/>
                <w:noProof/>
                <w:sz w:val="24"/>
              </w:rPr>
              <w:t xml:space="preserve"> 2017, a peste 37 000 de migranți vulnerabili. </w:t>
            </w:r>
          </w:p>
          <w:p w:rsidR="0021727D" w:rsidRDefault="0040685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Acțiunea a vizat rețelele infracționale care introduc ilegal migranți: numai în 2018, Centrul european privind introducerea ilegală de migranți a avut un rol-cheie în depistarea a peste o sută de cazuri prior</w:t>
            </w:r>
            <w:r>
              <w:rPr>
                <w:rFonts w:ascii="Times New Roman" w:hAnsi="Times New Roman"/>
                <w:noProof/>
                <w:color w:val="000000"/>
                <w:sz w:val="24"/>
              </w:rPr>
              <w:t>itare de introducere ilegală de migranți. În unele țări, cum ar fi Nigerul, echipele comune de anchetă combat introducerea ilegală de migranți.</w:t>
            </w:r>
          </w:p>
          <w:p w:rsidR="0021727D" w:rsidRDefault="0040685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34 710 persoane care au nevoie de protecție internațională au fost transferate din Italia și Grecia.</w:t>
            </w:r>
            <w:r>
              <w:rPr>
                <w:rFonts w:ascii="Times New Roman" w:hAnsi="Times New Roman"/>
                <w:noProof/>
                <w:color w:val="000000"/>
                <w:sz w:val="24"/>
                <w:highlight w:val="yellow"/>
              </w:rPr>
              <w:t xml:space="preserve"> </w:t>
            </w:r>
          </w:p>
          <w:p w:rsidR="0021727D" w:rsidRDefault="0040685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color w:val="000000"/>
                <w:sz w:val="24"/>
                <w:szCs w:val="24"/>
              </w:rPr>
            </w:pPr>
            <w:r>
              <w:rPr>
                <w:rFonts w:ascii="Times New Roman" w:hAnsi="Times New Roman"/>
                <w:noProof/>
                <w:color w:val="000000"/>
                <w:sz w:val="24"/>
              </w:rPr>
              <w:t>Începând c</w:t>
            </w:r>
            <w:r>
              <w:rPr>
                <w:rFonts w:ascii="Times New Roman" w:hAnsi="Times New Roman"/>
                <w:noProof/>
                <w:color w:val="000000"/>
                <w:sz w:val="24"/>
              </w:rPr>
              <w:t>u anul 2015, peste 50 000 de persoane care au nevoie de protecție internațională au fost relocate în UE.</w:t>
            </w:r>
          </w:p>
          <w:p w:rsidR="0021727D" w:rsidRDefault="0040685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sz w:val="24"/>
                <w:szCs w:val="24"/>
              </w:rPr>
            </w:pPr>
            <w:r>
              <w:rPr>
                <w:rFonts w:ascii="Times New Roman" w:hAnsi="Times New Roman"/>
                <w:noProof/>
                <w:color w:val="000000"/>
                <w:sz w:val="24"/>
              </w:rPr>
              <w:t>În scopul sprijinirii măsurilor privind integrarea și migrația legală, în perioada 2015 - 2017 au fost puse la dispoziție, din Fondul pentru azil, migr</w:t>
            </w:r>
            <w:r>
              <w:rPr>
                <w:rFonts w:ascii="Times New Roman" w:hAnsi="Times New Roman"/>
                <w:noProof/>
                <w:color w:val="000000"/>
                <w:sz w:val="24"/>
              </w:rPr>
              <w:t>ație și integrare, peste 140 de milioane EUR</w:t>
            </w:r>
            <w:r>
              <w:rPr>
                <w:rStyle w:val="FootnoteReference"/>
                <w:rFonts w:ascii="Times New Roman" w:hAnsi="Times New Roman"/>
                <w:noProof/>
                <w:color w:val="000000"/>
                <w:sz w:val="24"/>
              </w:rPr>
              <w:footnoteReference w:id="4"/>
            </w:r>
            <w:r>
              <w:rPr>
                <w:noProof/>
              </w:rPr>
              <w:t>.</w:t>
            </w:r>
          </w:p>
          <w:p w:rsidR="0021727D" w:rsidRDefault="0040685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Times New Roman" w:hAnsi="Times New Roman"/>
                <w:noProof/>
                <w:sz w:val="24"/>
                <w:szCs w:val="24"/>
              </w:rPr>
            </w:pPr>
            <w:r>
              <w:rPr>
                <w:rFonts w:ascii="Times New Roman" w:hAnsi="Times New Roman"/>
                <w:noProof/>
                <w:color w:val="000000"/>
                <w:sz w:val="24"/>
              </w:rPr>
              <w:lastRenderedPageBreak/>
              <w:t xml:space="preserve">Până în prezent au fost încheiate acorduri oficiale de readmisie sau modalități practice privind returnarea și readmisia cu 23 de țări de origine și de tranzit. </w:t>
            </w:r>
          </w:p>
          <w:p w:rsidR="0021727D" w:rsidRDefault="0040685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C6D9F1" w:themeFill="text2" w:themeFillTint="33"/>
              <w:jc w:val="both"/>
              <w:rPr>
                <w:noProof/>
              </w:rPr>
            </w:pPr>
            <w:r>
              <w:rPr>
                <w:rFonts w:ascii="Times New Roman" w:hAnsi="Times New Roman"/>
                <w:noProof/>
                <w:color w:val="000000"/>
                <w:sz w:val="24"/>
              </w:rPr>
              <w:t>În paralel, mai mult de 80 % din ajutorul umani</w:t>
            </w:r>
            <w:r>
              <w:rPr>
                <w:rFonts w:ascii="Times New Roman" w:hAnsi="Times New Roman"/>
                <w:noProof/>
                <w:color w:val="000000"/>
                <w:sz w:val="24"/>
              </w:rPr>
              <w:t>tar furnizat de UE în 2018 a răspuns nevoilor persoanelor strămutate forțat</w:t>
            </w:r>
            <w:r>
              <w:rPr>
                <w:rStyle w:val="FootnoteReference"/>
                <w:rFonts w:ascii="Times New Roman" w:hAnsi="Times New Roman"/>
                <w:noProof/>
                <w:color w:val="000000"/>
                <w:sz w:val="24"/>
              </w:rPr>
              <w:footnoteReference w:id="5"/>
            </w:r>
            <w:r>
              <w:rPr>
                <w:noProof/>
              </w:rPr>
              <w:t>.</w:t>
            </w:r>
            <w:r>
              <w:rPr>
                <w:rFonts w:ascii="Times New Roman" w:hAnsi="Times New Roman"/>
                <w:noProof/>
                <w:color w:val="000000"/>
                <w:sz w:val="24"/>
              </w:rPr>
              <w:t xml:space="preserve"> </w:t>
            </w:r>
          </w:p>
        </w:tc>
      </w:tr>
    </w:tbl>
    <w:p w:rsidR="0021727D" w:rsidRDefault="00406850">
      <w:pPr>
        <w:tabs>
          <w:tab w:val="left" w:pos="1985"/>
        </w:tabs>
        <w:jc w:val="both"/>
        <w:rPr>
          <w:rFonts w:ascii="Times New Roman" w:hAnsi="Times New Roman"/>
          <w:noProof/>
          <w:color w:val="000000"/>
          <w:sz w:val="24"/>
          <w:szCs w:val="24"/>
        </w:rPr>
      </w:pPr>
      <w:r>
        <w:rPr>
          <w:rFonts w:ascii="Times New Roman" w:hAnsi="Times New Roman"/>
          <w:noProof/>
          <w:color w:val="000000"/>
          <w:sz w:val="24"/>
        </w:rPr>
        <w:lastRenderedPageBreak/>
        <w:t xml:space="preserve">Eforturile în acest sens trebuie să continue. Faptul că numărul de sosiri neregulamentare s-a redus nu reprezintă o garanție pentru viitor, având în vedere faptul că va exista, probabil în continuare o presiune a migrației. Abordarea cauzelor profunde ale </w:t>
      </w:r>
      <w:r>
        <w:rPr>
          <w:rFonts w:ascii="Times New Roman" w:hAnsi="Times New Roman"/>
          <w:noProof/>
          <w:color w:val="000000"/>
          <w:sz w:val="24"/>
        </w:rPr>
        <w:t>migrației neregulamentare este, în mod inevitabil, un proiect pe termen lung, iar creșterea recentă a numărului de sosiri neregulamentare în vestul Mării Mediterane arată că situația rămâne volatilă și că persoanele care introduc ilegal migranți caută în p</w:t>
      </w:r>
      <w:r>
        <w:rPr>
          <w:rFonts w:ascii="Times New Roman" w:hAnsi="Times New Roman"/>
          <w:noProof/>
          <w:color w:val="000000"/>
          <w:sz w:val="24"/>
        </w:rPr>
        <w:t xml:space="preserve">ermanență noi soluții. Cele mai mari probleme sunt încă nesoluționate: avem nevoie de un sistem de azil care să fie adecvat scopului, să garanteze solidaritatea și să reducă deplasările secundare; trebuie să sporim numărul returnărilor prin adoptarea unor </w:t>
      </w:r>
      <w:r>
        <w:rPr>
          <w:rFonts w:ascii="Times New Roman" w:hAnsi="Times New Roman"/>
          <w:noProof/>
          <w:color w:val="000000"/>
          <w:sz w:val="24"/>
        </w:rPr>
        <w:t>măsuri atât în statele membre, cât și în țările terțe; trebuie să fim mai bine pregătiți la frontierele noastre externe; trebuie să combatem noile strategii ale persoanelor care introduc ilegal migranți și să continuăm să punem la dispoziție canale sigure,</w:t>
      </w:r>
      <w:r>
        <w:rPr>
          <w:rFonts w:ascii="Times New Roman" w:hAnsi="Times New Roman"/>
          <w:noProof/>
          <w:color w:val="000000"/>
          <w:sz w:val="24"/>
        </w:rPr>
        <w:t xml:space="preserve"> ordonate și legale pentru persoanele care au nevoie de protecție internațională și pentru migranții legali. Gestionarea migrației necesită un efort susținut, pe termen lung și conjugat din partea statelor membre ale UE, bazat pe solidaritate și responsabi</w:t>
      </w:r>
      <w:r>
        <w:rPr>
          <w:rFonts w:ascii="Times New Roman" w:hAnsi="Times New Roman"/>
          <w:noProof/>
          <w:color w:val="000000"/>
          <w:sz w:val="24"/>
        </w:rPr>
        <w:t xml:space="preserve">litate comună. Este esențial să se mențină tendința de trecere de la soluțiile </w:t>
      </w:r>
      <w:r>
        <w:rPr>
          <w:rFonts w:ascii="Times New Roman" w:hAnsi="Times New Roman"/>
          <w:i/>
          <w:noProof/>
          <w:color w:val="000000"/>
          <w:sz w:val="24"/>
        </w:rPr>
        <w:t>ad hoc</w:t>
      </w:r>
      <w:r>
        <w:rPr>
          <w:rFonts w:ascii="Times New Roman" w:hAnsi="Times New Roman"/>
          <w:noProof/>
          <w:color w:val="000000"/>
          <w:sz w:val="24"/>
        </w:rPr>
        <w:t xml:space="preserve"> la stabilirea unor structuri durabile și a unui cadru juridic eficace, adaptat exigențelor viitorului. Aceste obiective pot fi atinse prin continuarea activităților comun</w:t>
      </w:r>
      <w:r>
        <w:rPr>
          <w:rFonts w:ascii="Times New Roman" w:hAnsi="Times New Roman"/>
          <w:noProof/>
          <w:color w:val="000000"/>
          <w:sz w:val="24"/>
        </w:rPr>
        <w:t>e desfășurate în ultimii patru ani</w:t>
      </w:r>
      <w:r>
        <w:rPr>
          <w:rStyle w:val="FootnoteReference"/>
          <w:rFonts w:ascii="Times New Roman" w:hAnsi="Times New Roman"/>
          <w:noProof/>
          <w:color w:val="000000"/>
          <w:sz w:val="24"/>
        </w:rPr>
        <w:footnoteReference w:id="6"/>
      </w:r>
      <w:r>
        <w:rPr>
          <w:noProof/>
        </w:rPr>
        <w:t>.</w:t>
      </w:r>
    </w:p>
    <w:p w:rsidR="0021727D" w:rsidRDefault="0021727D">
      <w:pPr>
        <w:jc w:val="both"/>
        <w:rPr>
          <w:rFonts w:ascii="Times New Roman" w:hAnsi="Times New Roman"/>
          <w:noProof/>
          <w:color w:val="000000"/>
          <w:sz w:val="24"/>
          <w:szCs w:val="24"/>
        </w:rPr>
      </w:pPr>
    </w:p>
    <w:p w:rsidR="0021727D" w:rsidRDefault="00406850">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De fiecare dată când UE și statele membre au acționat concertat, aprofundarea cooperării cu principalele țări terțe partenere cum ar fi Turcia sau Nigerul a condus la o reducere substanțială a numărului de sosiri nereg</w:t>
      </w:r>
      <w:r>
        <w:rPr>
          <w:rFonts w:ascii="Times New Roman" w:hAnsi="Times New Roman"/>
          <w:noProof/>
          <w:color w:val="000000"/>
          <w:sz w:val="24"/>
        </w:rPr>
        <w:t>ulamentare. Acțiunile comune au dat roade, în sensul că au permis combaterea introducerii ilegale de migranți, găsirea unor căi legale alternative și încheierea a șase noi acorduri de readmisie cu principalele țări de origine. Cooperarea cu Africa și Uniun</w:t>
      </w:r>
      <w:r>
        <w:rPr>
          <w:rFonts w:ascii="Times New Roman" w:hAnsi="Times New Roman"/>
          <w:noProof/>
          <w:color w:val="000000"/>
          <w:sz w:val="24"/>
        </w:rPr>
        <w:t xml:space="preserve">ea Africană a atins noi niveluri. </w:t>
      </w:r>
    </w:p>
    <w:p w:rsidR="0021727D" w:rsidRDefault="0021727D">
      <w:pPr>
        <w:pStyle w:val="ListParagraph"/>
        <w:ind w:left="0"/>
        <w:jc w:val="both"/>
        <w:rPr>
          <w:rFonts w:ascii="Times New Roman" w:hAnsi="Times New Roman"/>
          <w:noProof/>
          <w:color w:val="000000"/>
          <w:sz w:val="24"/>
          <w:szCs w:val="24"/>
        </w:rPr>
      </w:pPr>
    </w:p>
    <w:p w:rsidR="0021727D" w:rsidRDefault="00406850">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 xml:space="preserve">Toate aceste inițiative dau deja rezultate și pot conduce la rezultate și în viitor. Este esențial să se urmeze abordarea globală expusă în cadrul celor patru piloni ai Agendei europene privind migrația și să se </w:t>
      </w:r>
      <w:r>
        <w:rPr>
          <w:rFonts w:ascii="Times New Roman" w:hAnsi="Times New Roman"/>
          <w:noProof/>
          <w:color w:val="000000"/>
          <w:sz w:val="24"/>
        </w:rPr>
        <w:t>instituie un cadru durabil.</w:t>
      </w:r>
    </w:p>
    <w:p w:rsidR="0021727D" w:rsidRDefault="0021727D">
      <w:pPr>
        <w:pStyle w:val="ListParagraph"/>
        <w:ind w:left="0"/>
        <w:jc w:val="both"/>
        <w:rPr>
          <w:rFonts w:ascii="Times New Roman" w:hAnsi="Times New Roman"/>
          <w:noProof/>
          <w:color w:val="000000"/>
          <w:sz w:val="24"/>
          <w:szCs w:val="24"/>
        </w:rPr>
      </w:pPr>
    </w:p>
    <w:p w:rsidR="0021727D" w:rsidRDefault="0021727D">
      <w:pPr>
        <w:pStyle w:val="ListParagraph"/>
        <w:ind w:left="0"/>
        <w:jc w:val="both"/>
        <w:rPr>
          <w:rFonts w:ascii="Times New Roman" w:hAnsi="Times New Roman"/>
          <w:noProof/>
          <w:color w:val="000000"/>
          <w:sz w:val="24"/>
          <w:szCs w:val="24"/>
        </w:rPr>
      </w:pPr>
    </w:p>
    <w:p w:rsidR="0021727D" w:rsidRDefault="00406850">
      <w:pPr>
        <w:pStyle w:val="ListParagraph"/>
        <w:numPr>
          <w:ilvl w:val="0"/>
          <w:numId w:val="2"/>
        </w:numPr>
        <w:jc w:val="both"/>
        <w:rPr>
          <w:rFonts w:ascii="Times New Roman" w:hAnsi="Times New Roman"/>
          <w:b/>
          <w:noProof/>
          <w:sz w:val="24"/>
          <w:szCs w:val="24"/>
        </w:rPr>
      </w:pPr>
      <w:r>
        <w:rPr>
          <w:rFonts w:ascii="Times New Roman" w:hAnsi="Times New Roman"/>
          <w:b/>
          <w:noProof/>
          <w:sz w:val="24"/>
        </w:rPr>
        <w:t>SITUAȚIA ACTUALĂ</w:t>
      </w:r>
    </w:p>
    <w:p w:rsidR="0021727D" w:rsidRDefault="0021727D">
      <w:pPr>
        <w:jc w:val="both"/>
        <w:rPr>
          <w:rFonts w:ascii="Times New Roman" w:hAnsi="Times New Roman"/>
          <w:i/>
          <w:noProof/>
          <w:sz w:val="24"/>
          <w:szCs w:val="24"/>
        </w:rPr>
      </w:pPr>
    </w:p>
    <w:p w:rsidR="0021727D" w:rsidRDefault="00406850">
      <w:pPr>
        <w:keepNext/>
        <w:spacing w:after="120"/>
        <w:jc w:val="both"/>
        <w:rPr>
          <w:rFonts w:ascii="Times New Roman" w:hAnsi="Times New Roman"/>
          <w:i/>
          <w:noProof/>
          <w:sz w:val="24"/>
          <w:szCs w:val="24"/>
        </w:rPr>
      </w:pPr>
      <w:r>
        <w:rPr>
          <w:rFonts w:ascii="Times New Roman" w:hAnsi="Times New Roman"/>
          <w:i/>
          <w:noProof/>
          <w:sz w:val="24"/>
        </w:rPr>
        <w:t>Sosiri neregulamentare</w:t>
      </w:r>
    </w:p>
    <w:p w:rsidR="0021727D" w:rsidRDefault="00406850">
      <w:pPr>
        <w:spacing w:after="120"/>
        <w:jc w:val="both"/>
        <w:rPr>
          <w:rFonts w:ascii="Times New Roman" w:hAnsi="Times New Roman"/>
          <w:noProof/>
          <w:sz w:val="24"/>
          <w:szCs w:val="24"/>
        </w:rPr>
      </w:pPr>
      <w:r>
        <w:rPr>
          <w:rFonts w:ascii="Times New Roman" w:hAnsi="Times New Roman"/>
          <w:noProof/>
          <w:sz w:val="24"/>
        </w:rPr>
        <w:t>Situația actuală arată o scădere semnificativă continuă față de nivelul din 2015, când s-a înregistrat un număr record de sosiri neregulamentare</w:t>
      </w:r>
      <w:r>
        <w:rPr>
          <w:rStyle w:val="FootnoteReference"/>
          <w:rFonts w:ascii="Times New Roman" w:hAnsi="Times New Roman"/>
          <w:noProof/>
          <w:sz w:val="24"/>
        </w:rPr>
        <w:footnoteReference w:id="7"/>
      </w:r>
      <w:r>
        <w:rPr>
          <w:noProof/>
        </w:rPr>
        <w:t>.</w:t>
      </w:r>
      <w:r>
        <w:rPr>
          <w:rFonts w:ascii="Times New Roman" w:hAnsi="Times New Roman"/>
          <w:noProof/>
          <w:sz w:val="24"/>
        </w:rPr>
        <w:t xml:space="preserve"> Cu toate acestea, o serie de tendințe </w:t>
      </w:r>
      <w:r>
        <w:rPr>
          <w:rFonts w:ascii="Times New Roman" w:hAnsi="Times New Roman"/>
          <w:noProof/>
          <w:sz w:val="24"/>
        </w:rPr>
        <w:t xml:space="preserve">au continuat în 2018 și în prima parte a anului 2019, fapt care dovedește că este nevoie de acțiuni susținute, precum și de o capacitate de adaptare la circumstanțe în schimbare. </w:t>
      </w:r>
    </w:p>
    <w:p w:rsidR="0021727D" w:rsidRDefault="0021727D">
      <w:pPr>
        <w:jc w:val="center"/>
        <w:rPr>
          <w:rFonts w:ascii="Times New Roman" w:hAnsi="Times New Roman"/>
          <w:i/>
          <w:noProof/>
          <w:sz w:val="24"/>
          <w:szCs w:val="24"/>
        </w:rPr>
      </w:pPr>
    </w:p>
    <w:p w:rsidR="0021727D" w:rsidRDefault="00406850">
      <w:pPr>
        <w:spacing w:after="360"/>
        <w:jc w:val="center"/>
        <w:rPr>
          <w:rFonts w:ascii="Times New Roman" w:hAnsi="Times New Roman"/>
          <w:i/>
          <w:noProof/>
          <w:sz w:val="24"/>
          <w:szCs w:val="24"/>
        </w:rPr>
      </w:pPr>
      <w:r>
        <w:rPr>
          <w:rFonts w:ascii="Times New Roman" w:hAnsi="Times New Roman"/>
          <w:i/>
          <w:noProof/>
          <w:sz w:val="24"/>
        </w:rPr>
        <w:t>Trecerile neregulamentare ale frontierei pe cele trei rute principale</w:t>
      </w:r>
    </w:p>
    <w:p w:rsidR="0021727D" w:rsidRDefault="00406850">
      <w:pPr>
        <w:jc w:val="both"/>
        <w:rPr>
          <w:rFonts w:ascii="Times New Roman" w:hAnsi="Times New Roman"/>
          <w:noProof/>
          <w:sz w:val="24"/>
          <w:szCs w:val="24"/>
        </w:rPr>
      </w:pPr>
      <w:r>
        <w:rPr>
          <w:noProof/>
          <w:lang w:val="en-GB" w:eastAsia="en-GB" w:bidi="ar-SA"/>
        </w:rPr>
        <w:drawing>
          <wp:inline distT="0" distB="0" distL="0" distR="0">
            <wp:extent cx="5460521" cy="2620036"/>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66481" cy="2622896"/>
                    </a:xfrm>
                    <a:prstGeom prst="rect">
                      <a:avLst/>
                    </a:prstGeom>
                  </pic:spPr>
                </pic:pic>
              </a:graphicData>
            </a:graphic>
          </wp:inline>
        </w:drawing>
      </w:r>
    </w:p>
    <w:p w:rsidR="0021727D" w:rsidRDefault="0021727D">
      <w:pPr>
        <w:spacing w:after="120"/>
        <w:jc w:val="both"/>
        <w:rPr>
          <w:rFonts w:ascii="Times New Roman" w:hAnsi="Times New Roman"/>
          <w:i/>
          <w:noProof/>
          <w:sz w:val="24"/>
          <w:szCs w:val="24"/>
        </w:rPr>
      </w:pPr>
    </w:p>
    <w:p w:rsidR="0021727D" w:rsidRDefault="0021727D">
      <w:pPr>
        <w:spacing w:after="120"/>
        <w:jc w:val="both"/>
        <w:rPr>
          <w:rFonts w:ascii="Times New Roman" w:hAnsi="Times New Roman"/>
          <w:noProof/>
          <w:sz w:val="24"/>
          <w:szCs w:val="24"/>
        </w:rPr>
      </w:pPr>
    </w:p>
    <w:p w:rsidR="0021727D" w:rsidRDefault="00406850">
      <w:pPr>
        <w:pStyle w:val="ListParagraph"/>
        <w:numPr>
          <w:ilvl w:val="0"/>
          <w:numId w:val="5"/>
        </w:numPr>
        <w:spacing w:after="120"/>
        <w:ind w:left="426" w:hanging="284"/>
        <w:contextualSpacing w:val="0"/>
        <w:jc w:val="both"/>
        <w:rPr>
          <w:rFonts w:ascii="Times New Roman" w:hAnsi="Times New Roman"/>
          <w:i/>
          <w:noProof/>
          <w:color w:val="000000"/>
          <w:sz w:val="24"/>
          <w:szCs w:val="24"/>
        </w:rPr>
      </w:pPr>
      <w:r>
        <w:rPr>
          <w:rFonts w:ascii="Times New Roman" w:hAnsi="Times New Roman"/>
          <w:noProof/>
          <w:sz w:val="24"/>
        </w:rPr>
        <w:t xml:space="preserve">Pe ruta </w:t>
      </w:r>
      <w:r>
        <w:rPr>
          <w:rFonts w:ascii="Times New Roman" w:hAnsi="Times New Roman"/>
          <w:i/>
          <w:noProof/>
          <w:sz w:val="24"/>
        </w:rPr>
        <w:t>vest-mediteraneeană</w:t>
      </w:r>
      <w:r>
        <w:rPr>
          <w:rFonts w:ascii="Times New Roman" w:hAnsi="Times New Roman"/>
          <w:noProof/>
          <w:sz w:val="24"/>
        </w:rPr>
        <w:t>, numărul sosirilor a crescut anul trecut, menținându-se la niveluri ridicate. În 2018, numărul total de sosiri în Spania (aproape 65 000 de persoane) a fost cu 131 % mai mare decât în 2017, iar această tendință a continuat în 20</w:t>
      </w:r>
      <w:r>
        <w:rPr>
          <w:rFonts w:ascii="Times New Roman" w:hAnsi="Times New Roman"/>
          <w:noProof/>
          <w:sz w:val="24"/>
        </w:rPr>
        <w:t>19</w:t>
      </w:r>
      <w:r>
        <w:rPr>
          <w:rStyle w:val="FootnoteReference"/>
          <w:rFonts w:ascii="Times New Roman" w:hAnsi="Times New Roman"/>
          <w:noProof/>
          <w:sz w:val="24"/>
        </w:rPr>
        <w:footnoteReference w:id="8"/>
      </w:r>
      <w:r>
        <w:rPr>
          <w:noProof/>
        </w:rPr>
        <w:t>.</w:t>
      </w:r>
      <w:r>
        <w:rPr>
          <w:rFonts w:ascii="Times New Roman" w:hAnsi="Times New Roman"/>
          <w:noProof/>
          <w:sz w:val="24"/>
        </w:rPr>
        <w:t xml:space="preserve"> În ceea ce privește clasificarea în funcție de cetățenia migranților care au sosit în Spania în 2018, marocanii s-au situat pe primul loc (reprezentând o cincime din numărul total al sosirilor), urmați de cetățenii unor țări din Africa de Vest (Guinee</w:t>
      </w:r>
      <w:r>
        <w:rPr>
          <w:rFonts w:ascii="Times New Roman" w:hAnsi="Times New Roman"/>
          <w:noProof/>
          <w:sz w:val="24"/>
        </w:rPr>
        <w:t>a, Mali, Côte d’Ivoire și Gambia) și din Algeria.</w:t>
      </w:r>
    </w:p>
    <w:p w:rsidR="0021727D" w:rsidRDefault="00406850">
      <w:pPr>
        <w:pStyle w:val="ListParagraph"/>
        <w:numPr>
          <w:ilvl w:val="0"/>
          <w:numId w:val="5"/>
        </w:numPr>
        <w:spacing w:after="120"/>
        <w:ind w:left="426" w:hanging="284"/>
        <w:contextualSpacing w:val="0"/>
        <w:jc w:val="both"/>
        <w:rPr>
          <w:rFonts w:ascii="Times New Roman" w:hAnsi="Times New Roman"/>
          <w:noProof/>
          <w:sz w:val="24"/>
          <w:szCs w:val="24"/>
        </w:rPr>
      </w:pPr>
      <w:r>
        <w:rPr>
          <w:rFonts w:ascii="Times New Roman" w:hAnsi="Times New Roman"/>
          <w:noProof/>
          <w:sz w:val="24"/>
        </w:rPr>
        <w:t xml:space="preserve">În zona </w:t>
      </w:r>
      <w:r>
        <w:rPr>
          <w:rFonts w:ascii="Times New Roman" w:hAnsi="Times New Roman"/>
          <w:i/>
          <w:noProof/>
          <w:sz w:val="24"/>
        </w:rPr>
        <w:t>central-mediteraneeană</w:t>
      </w:r>
      <w:r>
        <w:rPr>
          <w:rFonts w:ascii="Times New Roman" w:hAnsi="Times New Roman"/>
          <w:noProof/>
          <w:sz w:val="24"/>
        </w:rPr>
        <w:t xml:space="preserve">, numărul sosirilor neregulamentare rămâne scăzut. Per ansamblu, în 2018 s-a înregistrat o scădere cu 80 % a numărului de sosiri neregulamentare în Italia, comparativ cu 2017, </w:t>
      </w:r>
      <w:r>
        <w:rPr>
          <w:rFonts w:ascii="Times New Roman" w:hAnsi="Times New Roman"/>
          <w:noProof/>
          <w:sz w:val="24"/>
        </w:rPr>
        <w:t>iar această tendință a continuat în 2019, ajungându-se la nivelurile înregistrate înainte de criză. Deși mai mult de jumătate din numărul de plecări în 2018 au fost, în continuare, din Libia, paza de coastă libiană continuă să intercepteze sau să salveze u</w:t>
      </w:r>
      <w:r>
        <w:rPr>
          <w:rFonts w:ascii="Times New Roman" w:hAnsi="Times New Roman"/>
          <w:noProof/>
          <w:sz w:val="24"/>
        </w:rPr>
        <w:t>n număr mare de persoane pe mare – aproximativ 15 000 în 2018, acestea provenind în principal din Sudan (14 %), Niger (12 %) și Eritreea (12 %)</w:t>
      </w:r>
      <w:r>
        <w:rPr>
          <w:rStyle w:val="FootnoteReference"/>
          <w:rFonts w:ascii="Times New Roman" w:hAnsi="Times New Roman"/>
          <w:noProof/>
          <w:sz w:val="24"/>
        </w:rPr>
        <w:footnoteReference w:id="9"/>
      </w:r>
      <w:r>
        <w:rPr>
          <w:noProof/>
        </w:rPr>
        <w:t>.</w:t>
      </w:r>
      <w:r>
        <w:rPr>
          <w:rFonts w:ascii="Times New Roman" w:hAnsi="Times New Roman"/>
          <w:noProof/>
          <w:sz w:val="24"/>
        </w:rPr>
        <w:t xml:space="preserve"> Tunisia a devenit tot mai importantă ca țară de plecare (în special pentru tunisieni) către Italia, iar în a d</w:t>
      </w:r>
      <w:r>
        <w:rPr>
          <w:rFonts w:ascii="Times New Roman" w:hAnsi="Times New Roman"/>
          <w:noProof/>
          <w:sz w:val="24"/>
        </w:rPr>
        <w:t xml:space="preserve">oua jumătate a anului 2018, Malta s-a confruntat cu o creștere a numărului de sosiri pe teritoriul său. </w:t>
      </w:r>
    </w:p>
    <w:p w:rsidR="0021727D" w:rsidRDefault="00406850">
      <w:pPr>
        <w:pStyle w:val="ListParagraph"/>
        <w:numPr>
          <w:ilvl w:val="0"/>
          <w:numId w:val="5"/>
        </w:numPr>
        <w:spacing w:after="240"/>
        <w:ind w:left="419" w:hanging="357"/>
        <w:contextualSpacing w:val="0"/>
        <w:jc w:val="both"/>
        <w:rPr>
          <w:rFonts w:ascii="Times New Roman" w:hAnsi="Times New Roman"/>
          <w:noProof/>
          <w:sz w:val="24"/>
          <w:szCs w:val="24"/>
        </w:rPr>
      </w:pPr>
      <w:r>
        <w:rPr>
          <w:rFonts w:ascii="Times New Roman" w:hAnsi="Times New Roman"/>
          <w:noProof/>
          <w:sz w:val="24"/>
        </w:rPr>
        <w:t xml:space="preserve">În ceea ce privește ruta </w:t>
      </w:r>
      <w:r>
        <w:rPr>
          <w:rFonts w:ascii="Times New Roman" w:hAnsi="Times New Roman"/>
          <w:i/>
          <w:noProof/>
          <w:sz w:val="24"/>
        </w:rPr>
        <w:t>est-mediteraneeană</w:t>
      </w:r>
      <w:r>
        <w:rPr>
          <w:rFonts w:ascii="Times New Roman" w:hAnsi="Times New Roman"/>
          <w:noProof/>
          <w:sz w:val="24"/>
        </w:rPr>
        <w:t>, numărul sosirilor a crescut în 2018, iar în Grecia numărul sosirilor în 2019 este cu aproape 30 % mai mare</w:t>
      </w:r>
      <w:r>
        <w:rPr>
          <w:rFonts w:ascii="Times New Roman" w:hAnsi="Times New Roman"/>
          <w:noProof/>
          <w:sz w:val="24"/>
        </w:rPr>
        <w:t xml:space="preserve"> decât anul trecut. Această tendință exercită o presiune continuă nu numai asupra insulelor din Marea Egee, ci și asupra frontierei terestre dintre Grecia și Turcia, deoarece numărul returnărilor către Turcia este mult prea mic pentru a atenua această pres</w:t>
      </w:r>
      <w:r>
        <w:rPr>
          <w:rFonts w:ascii="Times New Roman" w:hAnsi="Times New Roman"/>
          <w:noProof/>
          <w:sz w:val="24"/>
        </w:rPr>
        <w:t>iune și pentru a contracara modelul de afaceri al persoanelor care introduc ilegal migranți</w:t>
      </w:r>
      <w:r>
        <w:rPr>
          <w:rStyle w:val="FootnoteReference"/>
          <w:rFonts w:ascii="Times New Roman" w:hAnsi="Times New Roman"/>
          <w:noProof/>
          <w:sz w:val="24"/>
        </w:rPr>
        <w:footnoteReference w:id="10"/>
      </w:r>
      <w:r>
        <w:rPr>
          <w:noProof/>
        </w:rPr>
        <w:t>.</w:t>
      </w:r>
      <w:r>
        <w:rPr>
          <w:rFonts w:ascii="Times New Roman" w:hAnsi="Times New Roman"/>
          <w:noProof/>
          <w:sz w:val="24"/>
        </w:rPr>
        <w:t xml:space="preserve"> Dintre migranții care au sosit pe </w:t>
      </w:r>
      <w:r>
        <w:rPr>
          <w:rFonts w:ascii="Times New Roman" w:hAnsi="Times New Roman"/>
          <w:noProof/>
          <w:sz w:val="24"/>
        </w:rPr>
        <w:lastRenderedPageBreak/>
        <w:t>insule în 2018 și în această primă parte a anului 2019, afganii sunt cei mai numeroși, iar dintre migranții care au intrat în UE</w:t>
      </w:r>
      <w:r>
        <w:rPr>
          <w:rFonts w:ascii="Times New Roman" w:hAnsi="Times New Roman"/>
          <w:noProof/>
          <w:sz w:val="24"/>
        </w:rPr>
        <w:t xml:space="preserve"> trecând frontierele terestre, turcii sunt cei mai numeroși. A crescut, de asemenea, numărul sosirilor în Cipru, atât pe cale maritimă, cât și pe cale terestră, în zonele controlate de guvern.</w:t>
      </w:r>
    </w:p>
    <w:p w:rsidR="0021727D" w:rsidRDefault="00406850">
      <w:pPr>
        <w:jc w:val="both"/>
        <w:rPr>
          <w:rFonts w:ascii="Times New Roman" w:hAnsi="Times New Roman"/>
          <w:noProof/>
          <w:sz w:val="24"/>
          <w:szCs w:val="24"/>
        </w:rPr>
      </w:pPr>
      <w:r>
        <w:rPr>
          <w:rFonts w:ascii="Times New Roman" w:hAnsi="Times New Roman"/>
          <w:noProof/>
          <w:sz w:val="24"/>
        </w:rPr>
        <w:t xml:space="preserve">În 2018, s-au înregistrat, de asemenea, creșteri semnificative </w:t>
      </w:r>
      <w:r>
        <w:rPr>
          <w:rFonts w:ascii="Times New Roman" w:hAnsi="Times New Roman"/>
          <w:noProof/>
          <w:sz w:val="24"/>
        </w:rPr>
        <w:t xml:space="preserve">ale deplasărilor neregulamentare pe ruta </w:t>
      </w:r>
      <w:r>
        <w:rPr>
          <w:rFonts w:ascii="Times New Roman" w:hAnsi="Times New Roman"/>
          <w:i/>
          <w:noProof/>
          <w:sz w:val="24"/>
        </w:rPr>
        <w:t>Balcanilor de Vest</w:t>
      </w:r>
      <w:r>
        <w:rPr>
          <w:rFonts w:ascii="Times New Roman" w:hAnsi="Times New Roman"/>
          <w:noProof/>
          <w:sz w:val="24"/>
        </w:rPr>
        <w:t>, deși numărul acestora a scăzut în ultima parte a anului, odată cu venirea iernii. În 2018, numărul sosirilor neregulamentare a fost de patru ori mai mare decât în 2017, ruta principală, în regiun</w:t>
      </w:r>
      <w:r>
        <w:rPr>
          <w:rFonts w:ascii="Times New Roman" w:hAnsi="Times New Roman"/>
          <w:noProof/>
          <w:sz w:val="24"/>
        </w:rPr>
        <w:t>e, trecând dinspre Serbia către Bosnia și Herțegovina. În Bosnia și Herțegovina s-au înregistrat aproximativ 24 000 de sosiri neregulamentare în 2018, iar numărul migranților care se aflau în țară la sfârșitul anului era de aproximativ 5 000. Cu toate aces</w:t>
      </w:r>
      <w:r>
        <w:rPr>
          <w:rFonts w:ascii="Times New Roman" w:hAnsi="Times New Roman"/>
          <w:noProof/>
          <w:sz w:val="24"/>
        </w:rPr>
        <w:t>tea, numărul mare al sosirilor pe această rută a scăzut după eliminarea de către Serbia, la 17 octombrie 2018, a regimului de călătorii fără viză pentru cetățenii iranieni. Creșterea numărului de cetățeni indieni care sosesc în Serbia ca urmare a regimului</w:t>
      </w:r>
      <w:r>
        <w:rPr>
          <w:rFonts w:ascii="Times New Roman" w:hAnsi="Times New Roman"/>
          <w:noProof/>
          <w:sz w:val="24"/>
        </w:rPr>
        <w:t xml:space="preserve"> de călătorii fără viză acordat de Serbia este în curs de monitorizare.</w:t>
      </w:r>
    </w:p>
    <w:p w:rsidR="0021727D" w:rsidRDefault="0021727D">
      <w:pPr>
        <w:jc w:val="both"/>
        <w:rPr>
          <w:rFonts w:ascii="Times New Roman" w:hAnsi="Times New Roman"/>
          <w:noProof/>
          <w:sz w:val="24"/>
          <w:szCs w:val="24"/>
        </w:rPr>
      </w:pPr>
    </w:p>
    <w:p w:rsidR="0021727D" w:rsidRDefault="00406850">
      <w:pPr>
        <w:jc w:val="both"/>
        <w:rPr>
          <w:rFonts w:ascii="Times New Roman" w:hAnsi="Times New Roman"/>
          <w:noProof/>
          <w:spacing w:val="-2"/>
          <w:sz w:val="24"/>
          <w:szCs w:val="24"/>
        </w:rPr>
      </w:pPr>
      <w:r>
        <w:rPr>
          <w:rFonts w:ascii="Times New Roman" w:hAnsi="Times New Roman"/>
          <w:noProof/>
          <w:spacing w:val="-2"/>
          <w:sz w:val="24"/>
        </w:rPr>
        <w:t>Numărul deceselor înregistrate în Marea Mediterană a continuat să scadă începând cu anul 2016, datorită eforturilor depuse de UE, de statele membre și de alți parteneri, însă modelele</w:t>
      </w:r>
      <w:r>
        <w:rPr>
          <w:rFonts w:ascii="Times New Roman" w:hAnsi="Times New Roman"/>
          <w:noProof/>
          <w:spacing w:val="-2"/>
          <w:sz w:val="24"/>
        </w:rPr>
        <w:t xml:space="preserve"> de afaceri al persoanelor care introduc ilegal migranți duc, în continuare, la pierderea de vieți omenești ca urmare a traversărilor pe mare. În 2018 și-au pierdut viața aproximativ 2 300 de persoane, în comparație cu 3 100 în 2017; în 2019 și-au pierdut </w:t>
      </w:r>
      <w:r>
        <w:rPr>
          <w:rFonts w:ascii="Times New Roman" w:hAnsi="Times New Roman"/>
          <w:noProof/>
          <w:spacing w:val="-2"/>
          <w:sz w:val="24"/>
        </w:rPr>
        <w:t>viața, până în prezent, 220 de persoane</w:t>
      </w:r>
      <w:r>
        <w:rPr>
          <w:rStyle w:val="FootnoteReference"/>
          <w:rFonts w:ascii="Times New Roman" w:hAnsi="Times New Roman"/>
          <w:noProof/>
          <w:spacing w:val="-2"/>
          <w:sz w:val="24"/>
        </w:rPr>
        <w:footnoteReference w:id="11"/>
      </w:r>
      <w:r>
        <w:rPr>
          <w:noProof/>
          <w:spacing w:val="-2"/>
        </w:rPr>
        <w:t>.</w:t>
      </w:r>
    </w:p>
    <w:p w:rsidR="0021727D" w:rsidRDefault="0021727D">
      <w:pPr>
        <w:jc w:val="both"/>
        <w:rPr>
          <w:rFonts w:ascii="Times New Roman" w:hAnsi="Times New Roman"/>
          <w:b/>
          <w:i/>
          <w:noProof/>
          <w:sz w:val="24"/>
          <w:szCs w:val="24"/>
        </w:rPr>
      </w:pPr>
    </w:p>
    <w:p w:rsidR="0021727D" w:rsidRDefault="00406850">
      <w:pPr>
        <w:keepNext/>
        <w:spacing w:after="120"/>
        <w:jc w:val="both"/>
        <w:rPr>
          <w:rFonts w:ascii="Times New Roman" w:hAnsi="Times New Roman"/>
          <w:i/>
          <w:noProof/>
          <w:sz w:val="24"/>
          <w:szCs w:val="24"/>
        </w:rPr>
      </w:pPr>
      <w:r>
        <w:rPr>
          <w:rFonts w:ascii="Times New Roman" w:hAnsi="Times New Roman"/>
          <w:i/>
          <w:noProof/>
          <w:sz w:val="24"/>
        </w:rPr>
        <w:t>Azil</w:t>
      </w:r>
    </w:p>
    <w:p w:rsidR="0021727D" w:rsidRDefault="00406850">
      <w:pPr>
        <w:jc w:val="both"/>
        <w:rPr>
          <w:rFonts w:ascii="Times New Roman" w:hAnsi="Times New Roman"/>
          <w:noProof/>
          <w:sz w:val="24"/>
          <w:szCs w:val="24"/>
        </w:rPr>
      </w:pPr>
      <w:r>
        <w:rPr>
          <w:rFonts w:ascii="Times New Roman" w:hAnsi="Times New Roman"/>
          <w:noProof/>
          <w:sz w:val="24"/>
        </w:rPr>
        <w:t>În 2018, în UE și în țările asociate spațiului Schengen au fost depuse aproximativ 634 700 de cereri de protecție internațională, cu 10 % mai puțin decât în 2017, ceea ce înseamnă că numărul cererilor a reven</w:t>
      </w:r>
      <w:r>
        <w:rPr>
          <w:rFonts w:ascii="Times New Roman" w:hAnsi="Times New Roman"/>
          <w:noProof/>
          <w:sz w:val="24"/>
        </w:rPr>
        <w:t>it la niveluri comparabile cu cele din 2014</w:t>
      </w:r>
      <w:r>
        <w:rPr>
          <w:rStyle w:val="FootnoteReference"/>
          <w:rFonts w:ascii="Times New Roman" w:hAnsi="Times New Roman"/>
          <w:noProof/>
          <w:sz w:val="24"/>
        </w:rPr>
        <w:footnoteReference w:id="12"/>
      </w:r>
      <w:r>
        <w:rPr>
          <w:noProof/>
        </w:rPr>
        <w:t>.</w:t>
      </w:r>
      <w:r>
        <w:rPr>
          <w:rFonts w:ascii="Times New Roman" w:hAnsi="Times New Roman"/>
          <w:noProof/>
          <w:sz w:val="24"/>
        </w:rPr>
        <w:t xml:space="preserve"> Principalele țări destinatare, în 2018, au fost Germania, Franța, Grecia, Italia și Spania (72 % din numărul total al cererilor depuse în UE și în țările asociate spațiului Schengen)</w:t>
      </w:r>
      <w:r>
        <w:rPr>
          <w:rStyle w:val="FootnoteReference"/>
          <w:rFonts w:ascii="Times New Roman" w:hAnsi="Times New Roman"/>
          <w:noProof/>
          <w:sz w:val="24"/>
        </w:rPr>
        <w:footnoteReference w:id="13"/>
      </w:r>
      <w:r>
        <w:rPr>
          <w:noProof/>
        </w:rPr>
        <w:t>.</w:t>
      </w:r>
      <w:r>
        <w:rPr>
          <w:rFonts w:ascii="Times New Roman" w:hAnsi="Times New Roman"/>
          <w:noProof/>
          <w:sz w:val="24"/>
        </w:rPr>
        <w:t xml:space="preserve"> La fel ca în 2017, princi</w:t>
      </w:r>
      <w:r>
        <w:rPr>
          <w:rFonts w:ascii="Times New Roman" w:hAnsi="Times New Roman"/>
          <w:noProof/>
          <w:sz w:val="24"/>
        </w:rPr>
        <w:t xml:space="preserve">palele țări de origine au fost Siria, Afganistan și Irak. De asemenea, s-a înregistrat o creștere considerabilă a numărului de cereri depuse de imigranți proveniți din țări ai căror cetățeni sunt scutiți de obligativitatea deținerii unei vize Schengen, în </w:t>
      </w:r>
      <w:r>
        <w:rPr>
          <w:rFonts w:ascii="Times New Roman" w:hAnsi="Times New Roman"/>
          <w:noProof/>
          <w:sz w:val="24"/>
        </w:rPr>
        <w:t>special din Venezuela, Georgia și Columbia.</w:t>
      </w:r>
    </w:p>
    <w:p w:rsidR="0021727D" w:rsidRDefault="0021727D">
      <w:pPr>
        <w:jc w:val="both"/>
        <w:rPr>
          <w:rFonts w:ascii="Times New Roman" w:hAnsi="Times New Roman"/>
          <w:i/>
          <w:noProof/>
          <w:sz w:val="24"/>
          <w:szCs w:val="24"/>
        </w:rPr>
      </w:pPr>
    </w:p>
    <w:p w:rsidR="0021727D" w:rsidRDefault="00406850">
      <w:pPr>
        <w:jc w:val="both"/>
        <w:rPr>
          <w:rFonts w:ascii="Times New Roman" w:eastAsia="Calibri" w:hAnsi="Times New Roman"/>
          <w:noProof/>
          <w:sz w:val="24"/>
        </w:rPr>
      </w:pPr>
      <w:r>
        <w:rPr>
          <w:rFonts w:ascii="Times New Roman" w:hAnsi="Times New Roman"/>
          <w:noProof/>
          <w:sz w:val="24"/>
        </w:rPr>
        <w:t>În 2018, în urma comparării amprentelor digitale ale persoanelor care au intrat pe teritoriul unui alt stat membru cu amprentele digitale stocate în baza de date Eurodac, s-au înregistrat peste 400 000 de rezult</w:t>
      </w:r>
      <w:r>
        <w:rPr>
          <w:rFonts w:ascii="Times New Roman" w:hAnsi="Times New Roman"/>
          <w:noProof/>
          <w:sz w:val="24"/>
        </w:rPr>
        <w:t>ate pozitive</w:t>
      </w:r>
      <w:r>
        <w:rPr>
          <w:rStyle w:val="FootnoteReference"/>
          <w:rFonts w:ascii="Times New Roman" w:hAnsi="Times New Roman"/>
          <w:noProof/>
          <w:sz w:val="24"/>
        </w:rPr>
        <w:footnoteReference w:id="14"/>
      </w:r>
      <w:r>
        <w:rPr>
          <w:noProof/>
        </w:rPr>
        <w:t>.</w:t>
      </w:r>
      <w:r>
        <w:rPr>
          <w:rFonts w:ascii="Times New Roman" w:hAnsi="Times New Roman"/>
          <w:noProof/>
          <w:sz w:val="24"/>
        </w:rPr>
        <w:t xml:space="preserve"> Franța și Germania au fost statele membre cu cel mai mare număr de astfel de rezultate pozitive (ceea ce indică faptul că acestea sunt principalele țări de destinație pentru deplasările secundare), Italia și Grecia fiind statele membre cu ce</w:t>
      </w:r>
      <w:r>
        <w:rPr>
          <w:rFonts w:ascii="Times New Roman" w:hAnsi="Times New Roman"/>
          <w:noProof/>
          <w:sz w:val="24"/>
        </w:rPr>
        <w:t>l mai mare număr de amprente digitale existente (ceea ce indică faptul că acestea sunt principalele țări ale primei intrări)</w:t>
      </w:r>
      <w:r>
        <w:rPr>
          <w:rStyle w:val="FootnoteReference"/>
          <w:rFonts w:ascii="Times New Roman" w:hAnsi="Times New Roman"/>
          <w:noProof/>
          <w:sz w:val="24"/>
        </w:rPr>
        <w:footnoteReference w:id="15"/>
      </w:r>
      <w:r>
        <w:rPr>
          <w:noProof/>
        </w:rPr>
        <w:t>.</w:t>
      </w:r>
      <w:r>
        <w:rPr>
          <w:rFonts w:ascii="Times New Roman" w:hAnsi="Times New Roman"/>
          <w:noProof/>
          <w:sz w:val="24"/>
        </w:rPr>
        <w:t> </w:t>
      </w:r>
    </w:p>
    <w:p w:rsidR="0021727D" w:rsidRDefault="0021727D">
      <w:pPr>
        <w:jc w:val="both"/>
        <w:rPr>
          <w:rFonts w:ascii="Times New Roman" w:eastAsia="Calibri" w:hAnsi="Times New Roman"/>
          <w:noProof/>
          <w:color w:val="1F497D" w:themeColor="text2"/>
          <w:sz w:val="24"/>
        </w:rPr>
      </w:pPr>
    </w:p>
    <w:p w:rsidR="0021727D" w:rsidRDefault="00406850">
      <w:pPr>
        <w:spacing w:after="200" w:line="276" w:lineRule="auto"/>
        <w:rPr>
          <w:rFonts w:ascii="Times New Roman" w:hAnsi="Times New Roman"/>
          <w:b/>
          <w:noProof/>
          <w:sz w:val="24"/>
          <w:szCs w:val="24"/>
        </w:rPr>
      </w:pPr>
      <w:r>
        <w:rPr>
          <w:noProof/>
        </w:rPr>
        <w:br w:type="page"/>
      </w:r>
      <w:r>
        <w:rPr>
          <w:rFonts w:ascii="Times New Roman" w:hAnsi="Times New Roman"/>
          <w:b/>
          <w:noProof/>
          <w:sz w:val="24"/>
        </w:rPr>
        <w:lastRenderedPageBreak/>
        <w:t>ACȚIUNI IMEDIATE</w:t>
      </w:r>
    </w:p>
    <w:p w:rsidR="0021727D" w:rsidRDefault="0021727D">
      <w:pPr>
        <w:pStyle w:val="ListParagraph"/>
        <w:ind w:left="0"/>
        <w:jc w:val="both"/>
        <w:rPr>
          <w:rFonts w:ascii="Times New Roman" w:hAnsi="Times New Roman"/>
          <w:b/>
          <w:i/>
          <w:noProof/>
          <w:sz w:val="24"/>
          <w:szCs w:val="24"/>
        </w:rPr>
      </w:pPr>
    </w:p>
    <w:p w:rsidR="0021727D" w:rsidRDefault="00406850">
      <w:pPr>
        <w:pStyle w:val="ListParagraph"/>
        <w:keepNext/>
        <w:spacing w:after="120"/>
        <w:ind w:left="0"/>
        <w:contextualSpacing w:val="0"/>
        <w:jc w:val="both"/>
        <w:rPr>
          <w:rFonts w:ascii="Times New Roman" w:hAnsi="Times New Roman"/>
          <w:i/>
          <w:noProof/>
          <w:sz w:val="24"/>
          <w:szCs w:val="24"/>
        </w:rPr>
      </w:pPr>
      <w:r>
        <w:rPr>
          <w:rFonts w:ascii="Times New Roman" w:hAnsi="Times New Roman"/>
          <w:i/>
          <w:noProof/>
          <w:sz w:val="24"/>
        </w:rPr>
        <w:t>Ruta</w:t>
      </w:r>
      <w:r>
        <w:rPr>
          <w:rFonts w:ascii="Times New Roman" w:hAnsi="Times New Roman"/>
          <w:noProof/>
          <w:sz w:val="24"/>
        </w:rPr>
        <w:t xml:space="preserve"> </w:t>
      </w:r>
      <w:r>
        <w:rPr>
          <w:rFonts w:ascii="Times New Roman" w:hAnsi="Times New Roman"/>
          <w:i/>
          <w:noProof/>
          <w:sz w:val="24"/>
        </w:rPr>
        <w:t>vest-mediteraneană: cooperarea cu Marocul</w:t>
      </w:r>
    </w:p>
    <w:p w:rsidR="0021727D" w:rsidRDefault="00406850">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Având în vedere faptul că Spania este, în prezent, punctul de</w:t>
      </w:r>
      <w:r>
        <w:rPr>
          <w:rFonts w:ascii="Times New Roman" w:hAnsi="Times New Roman"/>
          <w:noProof/>
          <w:color w:val="000000"/>
          <w:sz w:val="24"/>
        </w:rPr>
        <w:t xml:space="preserve"> intrare principal de traversare a frontierei în mod neregulamentar, măsurile menite să abordeze migrația pe ruta vest­mediteraneeană trebuie să fie o prioritate pentru UE. UE a pus bazele unui parteneriat strâns cu Marocul. La sfârșitul anului 2018, aceas</w:t>
      </w:r>
      <w:r>
        <w:rPr>
          <w:rFonts w:ascii="Times New Roman" w:hAnsi="Times New Roman"/>
          <w:noProof/>
          <w:color w:val="000000"/>
          <w:sz w:val="24"/>
        </w:rPr>
        <w:t>ta a aprobat acordarea sumei de 140 de milioane EUR pentru gestionarea frontierelor și sprijin bugetar</w:t>
      </w:r>
      <w:r>
        <w:rPr>
          <w:rStyle w:val="FootnoteReference"/>
          <w:rFonts w:ascii="Times New Roman" w:hAnsi="Times New Roman"/>
          <w:noProof/>
          <w:color w:val="000000"/>
          <w:sz w:val="24"/>
        </w:rPr>
        <w:footnoteReference w:id="16"/>
      </w:r>
      <w:r>
        <w:rPr>
          <w:noProof/>
        </w:rPr>
        <w:t>.</w:t>
      </w:r>
      <w:r>
        <w:rPr>
          <w:rFonts w:ascii="Times New Roman" w:hAnsi="Times New Roman"/>
          <w:noProof/>
          <w:color w:val="000000"/>
          <w:sz w:val="24"/>
        </w:rPr>
        <w:t xml:space="preserve"> Marocul a depus deja eforturi pentru consolidarea controlului la frontierele sale și a împiedicat un număr mare de plecări</w:t>
      </w:r>
      <w:r>
        <w:rPr>
          <w:rStyle w:val="FootnoteReference"/>
          <w:rFonts w:ascii="Times New Roman" w:hAnsi="Times New Roman"/>
          <w:noProof/>
          <w:color w:val="000000"/>
          <w:sz w:val="24"/>
        </w:rPr>
        <w:footnoteReference w:id="17"/>
      </w:r>
      <w:r>
        <w:rPr>
          <w:noProof/>
        </w:rPr>
        <w:t>.</w:t>
      </w:r>
      <w:r>
        <w:rPr>
          <w:rFonts w:ascii="Times New Roman" w:hAnsi="Times New Roman"/>
          <w:noProof/>
          <w:color w:val="000000"/>
          <w:sz w:val="24"/>
        </w:rPr>
        <w:t xml:space="preserve"> Măsurile UE menționate ant</w:t>
      </w:r>
      <w:r>
        <w:rPr>
          <w:rFonts w:ascii="Times New Roman" w:hAnsi="Times New Roman"/>
          <w:noProof/>
          <w:color w:val="000000"/>
          <w:sz w:val="24"/>
        </w:rPr>
        <w:t>erior vor sprijini acest proces. Au fost efectuate primele plăți și au fost lansate oferte pentru achiziționarea unor echipamente de bază: ultimele contracte în cadrul acestui pachet vor fi semnate până în aprilie, fiind necesar să se continue punerea în a</w:t>
      </w:r>
      <w:r>
        <w:rPr>
          <w:rFonts w:ascii="Times New Roman" w:hAnsi="Times New Roman"/>
          <w:noProof/>
          <w:color w:val="000000"/>
          <w:sz w:val="24"/>
        </w:rPr>
        <w:t>plicare pe teren. Aceste demersuri vor completa, de asemenea, punerea în aplicare a asistenței de urgență în valoare de 36 de milioane EUR, convenită în 2018, pentru a sprijini Spania în gestionarea frontierei sale sudice. UE sprijină Spania și prin interm</w:t>
      </w:r>
      <w:r>
        <w:rPr>
          <w:rFonts w:ascii="Times New Roman" w:hAnsi="Times New Roman"/>
          <w:noProof/>
          <w:color w:val="000000"/>
          <w:sz w:val="24"/>
        </w:rPr>
        <w:t xml:space="preserve">ediul operațiunii Indalo. Comisia este pregătită să ofere Spaniei sprijinul financiar și tehnic necesar pentru gestionarea sosirilor.   </w:t>
      </w:r>
    </w:p>
    <w:p w:rsidR="0021727D" w:rsidRDefault="0021727D">
      <w:pPr>
        <w:pStyle w:val="ListParagraph"/>
        <w:ind w:left="0"/>
        <w:jc w:val="both"/>
        <w:rPr>
          <w:rFonts w:ascii="Times New Roman" w:hAnsi="Times New Roman"/>
          <w:noProof/>
          <w:color w:val="000000"/>
          <w:sz w:val="24"/>
          <w:szCs w:val="24"/>
        </w:rPr>
      </w:pPr>
    </w:p>
    <w:p w:rsidR="0021727D" w:rsidRDefault="00406850">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La un nivel mai general, UE depune eforturi pentru dezvoltarea în continuare a relațiilor cu Marocul, în vederea creăr</w:t>
      </w:r>
      <w:r>
        <w:rPr>
          <w:rFonts w:ascii="Times New Roman" w:hAnsi="Times New Roman"/>
          <w:noProof/>
          <w:color w:val="000000"/>
          <w:sz w:val="24"/>
        </w:rPr>
        <w:t>ii unui parteneriat mai strâns, mai aprofundat și mai ambițios. Mobilitatea și migrația vor juca un rol important, în acest sens, printr-o combinație de sprijin financiar, contacte mai strânse la nivel de experți și cooperare operațională inclusiv cu sprij</w:t>
      </w:r>
      <w:r>
        <w:rPr>
          <w:rFonts w:ascii="Times New Roman" w:hAnsi="Times New Roman"/>
          <w:noProof/>
          <w:color w:val="000000"/>
          <w:sz w:val="24"/>
        </w:rPr>
        <w:t>inul Agenției Europene pentru Poliția de Frontieră și Garda de Coastă. Aceste eforturi ar trebui să includă și reluarea negocierilor privind acordurile de readmisie și de facilitare a eliberării vizelor, precum și migrația legală. Abordarea fluxurilor de m</w:t>
      </w:r>
      <w:r>
        <w:rPr>
          <w:rFonts w:ascii="Times New Roman" w:hAnsi="Times New Roman"/>
          <w:noProof/>
          <w:color w:val="000000"/>
          <w:sz w:val="24"/>
        </w:rPr>
        <w:t xml:space="preserve">igrație și combaterea rutelor de introducere ilegală de migranți în Maroc din țările sale vecine ar trebui, de asemenea, să facă parte integrantă din această cooperare consolidată. </w:t>
      </w:r>
    </w:p>
    <w:p w:rsidR="0021727D" w:rsidRDefault="0021727D">
      <w:pPr>
        <w:pStyle w:val="ListParagraph"/>
        <w:ind w:left="0"/>
        <w:jc w:val="both"/>
        <w:rPr>
          <w:rFonts w:ascii="Times New Roman" w:hAnsi="Times New Roman"/>
          <w:noProof/>
          <w:color w:val="000000"/>
          <w:sz w:val="24"/>
          <w:szCs w:val="24"/>
        </w:rPr>
      </w:pPr>
    </w:p>
    <w:p w:rsidR="0021727D" w:rsidRDefault="00406850">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 xml:space="preserve">Pe lângă sprijinul direct acordat Marocului, Fondul fiduciar de urgență </w:t>
      </w:r>
      <w:r>
        <w:rPr>
          <w:rFonts w:ascii="Times New Roman" w:hAnsi="Times New Roman"/>
          <w:noProof/>
          <w:color w:val="000000"/>
          <w:sz w:val="24"/>
        </w:rPr>
        <w:t>al UE pentru Africa</w:t>
      </w:r>
      <w:r>
        <w:rPr>
          <w:rStyle w:val="FootnoteReference"/>
          <w:rFonts w:ascii="Times New Roman" w:hAnsi="Times New Roman"/>
          <w:noProof/>
          <w:color w:val="000000"/>
          <w:sz w:val="24"/>
        </w:rPr>
        <w:footnoteReference w:id="18"/>
      </w:r>
      <w:r>
        <w:rPr>
          <w:rFonts w:ascii="Times New Roman" w:hAnsi="Times New Roman"/>
          <w:noProof/>
          <w:color w:val="000000"/>
          <w:sz w:val="24"/>
        </w:rPr>
        <w:t xml:space="preserve"> întreprinde acțiuni pentru dezvoltarea unei cooperări pe întreaga rută vest-mediteraneeană. Un nou program de cooperare transfrontalieră în valoare de 8,6 milioane EUR consolidează în prezent guvernanța coordonată în domeniul migrației</w:t>
      </w:r>
      <w:r>
        <w:rPr>
          <w:rFonts w:ascii="Times New Roman" w:hAnsi="Times New Roman"/>
          <w:noProof/>
          <w:color w:val="000000"/>
          <w:sz w:val="24"/>
        </w:rPr>
        <w:t xml:space="preserve"> între Maroc, Senegal, Mali și Côte d’Ivoire, sprijinind intensificarea dialogurilor de politică regionale privind migrația. La sfârșitul anului 2018 a fost aprobat un program de sprijin bugetar pentru Mauritania menit să sprijine strategia sa națională de</w:t>
      </w:r>
      <w:r>
        <w:rPr>
          <w:rFonts w:ascii="Times New Roman" w:hAnsi="Times New Roman"/>
          <w:noProof/>
          <w:color w:val="000000"/>
          <w:sz w:val="24"/>
        </w:rPr>
        <w:t xml:space="preserve"> dezvoltare, un accent deosebit fiind pus pe protecția migranților și pe securitatea maritimă</w:t>
      </w:r>
      <w:r>
        <w:rPr>
          <w:rStyle w:val="FootnoteReference"/>
          <w:rFonts w:ascii="Times New Roman" w:hAnsi="Times New Roman"/>
          <w:noProof/>
          <w:color w:val="000000"/>
          <w:sz w:val="24"/>
        </w:rPr>
        <w:footnoteReference w:id="19"/>
      </w:r>
      <w:r>
        <w:rPr>
          <w:noProof/>
        </w:rPr>
        <w:t>.</w:t>
      </w:r>
      <w:r>
        <w:rPr>
          <w:rFonts w:ascii="Times New Roman" w:hAnsi="Times New Roman"/>
          <w:noProof/>
          <w:color w:val="000000"/>
          <w:sz w:val="24"/>
        </w:rPr>
        <w:t xml:space="preserve"> Componenta „Africa de Nord” a Fondului fiduciar pentru Africa ar trebui completată, în curând, cu suma de 120 de milioane EUR din bugetul </w:t>
      </w:r>
      <w:r>
        <w:rPr>
          <w:rFonts w:ascii="Times New Roman" w:hAnsi="Times New Roman"/>
          <w:noProof/>
          <w:color w:val="000000"/>
          <w:sz w:val="24"/>
        </w:rPr>
        <w:lastRenderedPageBreak/>
        <w:t>UE</w:t>
      </w:r>
      <w:r>
        <w:rPr>
          <w:rStyle w:val="FootnoteReference"/>
          <w:rFonts w:ascii="Times New Roman" w:hAnsi="Times New Roman"/>
          <w:noProof/>
          <w:color w:val="000000"/>
          <w:sz w:val="24"/>
        </w:rPr>
        <w:footnoteReference w:id="20"/>
      </w:r>
      <w:r>
        <w:rPr>
          <w:noProof/>
        </w:rPr>
        <w:t>.</w:t>
      </w:r>
      <w:r>
        <w:rPr>
          <w:rFonts w:ascii="Times New Roman" w:hAnsi="Times New Roman"/>
          <w:noProof/>
          <w:color w:val="000000"/>
          <w:sz w:val="24"/>
        </w:rPr>
        <w:t xml:space="preserve">  Cu toate acestea</w:t>
      </w:r>
      <w:r>
        <w:rPr>
          <w:rFonts w:ascii="Times New Roman" w:hAnsi="Times New Roman"/>
          <w:noProof/>
          <w:color w:val="000000"/>
          <w:sz w:val="24"/>
        </w:rPr>
        <w:t>, situația actuală arată că, pentru 2019, există un deficit de până la 86 de milioane EUR, în care intră și majorările esențiale pentru programele aflate în desfășurare în Libia și Maroc. Pentru a se asigura continuarea acestor activități vor fi necesare c</w:t>
      </w:r>
      <w:r>
        <w:rPr>
          <w:rFonts w:ascii="Times New Roman" w:hAnsi="Times New Roman"/>
          <w:noProof/>
          <w:color w:val="000000"/>
          <w:sz w:val="24"/>
        </w:rPr>
        <w:t>ontribuții din partea statelor membre.</w:t>
      </w:r>
    </w:p>
    <w:p w:rsidR="0021727D" w:rsidRDefault="0021727D">
      <w:pPr>
        <w:spacing w:after="200" w:line="276" w:lineRule="auto"/>
        <w:rPr>
          <w:rFonts w:ascii="Times New Roman" w:hAnsi="Times New Roman"/>
          <w:noProof/>
          <w:color w:val="000000"/>
          <w:sz w:val="24"/>
          <w:szCs w:val="24"/>
        </w:rPr>
      </w:pPr>
    </w:p>
    <w:p w:rsidR="0021727D" w:rsidRDefault="00406850">
      <w:pPr>
        <w:keepNext/>
        <w:spacing w:after="120"/>
        <w:jc w:val="both"/>
        <w:rPr>
          <w:rFonts w:ascii="Times New Roman" w:hAnsi="Times New Roman"/>
          <w:i/>
          <w:noProof/>
          <w:sz w:val="24"/>
          <w:szCs w:val="24"/>
        </w:rPr>
      </w:pPr>
      <w:r>
        <w:rPr>
          <w:rFonts w:ascii="Times New Roman" w:hAnsi="Times New Roman"/>
          <w:i/>
          <w:noProof/>
          <w:sz w:val="24"/>
        </w:rPr>
        <w:t xml:space="preserve">Ruta central-mediteraneeană: îmbunătățirea condițiilor din Libia </w:t>
      </w:r>
    </w:p>
    <w:p w:rsidR="0021727D" w:rsidRDefault="00406850">
      <w:pPr>
        <w:jc w:val="both"/>
        <w:rPr>
          <w:rFonts w:ascii="Times New Roman" w:hAnsi="Times New Roman"/>
          <w:noProof/>
          <w:color w:val="000000"/>
          <w:sz w:val="24"/>
          <w:szCs w:val="24"/>
        </w:rPr>
      </w:pPr>
      <w:r>
        <w:rPr>
          <w:rFonts w:ascii="Times New Roman" w:hAnsi="Times New Roman"/>
          <w:noProof/>
          <w:color w:val="000000"/>
          <w:sz w:val="24"/>
        </w:rPr>
        <w:t>Trebuie ajutate urgent persoanele blocate în Libia. Pentru a asigura condiții mai umane, trebuie să depunem eforturi pentru a găsi alternative la luar</w:t>
      </w:r>
      <w:r>
        <w:rPr>
          <w:rFonts w:ascii="Times New Roman" w:hAnsi="Times New Roman"/>
          <w:noProof/>
          <w:color w:val="000000"/>
          <w:sz w:val="24"/>
        </w:rPr>
        <w:t xml:space="preserve">ea în custodie publică, pentru o gestionare mai ordonată și mai transparentă a migranților și a refugiaților în Libia și pentru a acorda asistență persoanelor, astfel încât acestea să se reîntoarcă acasă în condiții de siguranță sau să obțină protecție în </w:t>
      </w:r>
      <w:r>
        <w:rPr>
          <w:rFonts w:ascii="Times New Roman" w:hAnsi="Times New Roman"/>
          <w:noProof/>
          <w:color w:val="000000"/>
          <w:sz w:val="24"/>
        </w:rPr>
        <w:t>Europa sau în altă parte.</w:t>
      </w:r>
      <w:r>
        <w:rPr>
          <w:rFonts w:ascii="Times New Roman" w:hAnsi="Times New Roman"/>
          <w:noProof/>
          <w:sz w:val="24"/>
        </w:rPr>
        <w:t xml:space="preserve"> O prioritate deosebită trebuie acordată persoanelor vulnerabile și celor care se află în centre de custodie publică: se estimează că, în Libia, 6 200 de migranți se află în custodie publică, în centrele controlate de guvernul de u</w:t>
      </w:r>
      <w:r>
        <w:rPr>
          <w:rFonts w:ascii="Times New Roman" w:hAnsi="Times New Roman"/>
          <w:noProof/>
          <w:sz w:val="24"/>
        </w:rPr>
        <w:t>niune națională</w:t>
      </w:r>
      <w:r>
        <w:rPr>
          <w:rStyle w:val="FootnoteReference"/>
          <w:rFonts w:ascii="Times New Roman" w:hAnsi="Times New Roman"/>
          <w:noProof/>
          <w:sz w:val="24"/>
        </w:rPr>
        <w:footnoteReference w:id="21"/>
      </w:r>
      <w:r>
        <w:rPr>
          <w:noProof/>
        </w:rPr>
        <w:t>.</w:t>
      </w:r>
    </w:p>
    <w:p w:rsidR="0021727D" w:rsidRDefault="0021727D">
      <w:pPr>
        <w:jc w:val="both"/>
        <w:rPr>
          <w:rFonts w:ascii="Times New Roman" w:hAnsi="Times New Roman"/>
          <w:noProof/>
          <w:color w:val="000000"/>
          <w:sz w:val="24"/>
          <w:szCs w:val="24"/>
        </w:rPr>
      </w:pPr>
    </w:p>
    <w:p w:rsidR="0021727D" w:rsidRDefault="00406850">
      <w:pPr>
        <w:contextualSpacing/>
        <w:jc w:val="both"/>
        <w:rPr>
          <w:rFonts w:ascii="Times New Roman" w:hAnsi="Times New Roman"/>
          <w:noProof/>
          <w:sz w:val="24"/>
          <w:szCs w:val="24"/>
        </w:rPr>
      </w:pPr>
      <w:r>
        <w:rPr>
          <w:rFonts w:ascii="Times New Roman" w:hAnsi="Times New Roman"/>
          <w:noProof/>
          <w:sz w:val="24"/>
        </w:rPr>
        <w:t xml:space="preserve">În limitele constrângerilor impuse de situația actuală în materie de securitate, acest aspect se află în centrul cooperării cu Înaltul Comisariat al Națiunilor Unite pentru Refugiați (UNHCR) și cu Organizația Internațională pentru </w:t>
      </w:r>
      <w:r>
        <w:rPr>
          <w:rFonts w:ascii="Times New Roman" w:hAnsi="Times New Roman"/>
          <w:noProof/>
          <w:sz w:val="24"/>
        </w:rPr>
        <w:t>Migrație, precum și cu grupul operativ trilateral la care participă Uniunea Africană, Uniunea Europeană și Organizația Națiunilor Unite. Datorită acestei cooperări, peste 37 000 de persoane s-au întors deja la casele lor, prin intermediul programelor de re</w:t>
      </w:r>
      <w:r>
        <w:rPr>
          <w:rFonts w:ascii="Times New Roman" w:hAnsi="Times New Roman"/>
          <w:noProof/>
          <w:sz w:val="24"/>
        </w:rPr>
        <w:t>turnare voluntară asistată, și aproape 2 500 de persoane au fost evacuate din Libia în Niger, prin intermediul mecanismului de tranzit de urgență al UNHCR</w:t>
      </w:r>
      <w:r>
        <w:rPr>
          <w:rStyle w:val="FootnoteReference"/>
          <w:rFonts w:ascii="Times New Roman" w:hAnsi="Times New Roman"/>
          <w:noProof/>
          <w:sz w:val="24"/>
        </w:rPr>
        <w:footnoteReference w:id="22"/>
      </w:r>
      <w:r>
        <w:rPr>
          <w:noProof/>
        </w:rPr>
        <w:t>.</w:t>
      </w:r>
      <w:r>
        <w:rPr>
          <w:rFonts w:ascii="Times New Roman" w:hAnsi="Times New Roman"/>
          <w:noProof/>
          <w:sz w:val="24"/>
        </w:rPr>
        <w:t xml:space="preserve"> Peste 1 200  de persoane au fost deja relocate, următoarea etapă-cheie, pentru statele membre, fiin</w:t>
      </w:r>
      <w:r>
        <w:rPr>
          <w:rFonts w:ascii="Times New Roman" w:hAnsi="Times New Roman"/>
          <w:noProof/>
          <w:sz w:val="24"/>
        </w:rPr>
        <w:t>d relocarea persoanelor care așteaptă, în continuare, în Niger. Grupul operativ va continua să solicite autorităților libiene să faciliteze aceste eforturi, concentrându-se în special pe reducerea obligațiilor privind vizele de ieșire și taxele de aterizar</w:t>
      </w:r>
      <w:r>
        <w:rPr>
          <w:rFonts w:ascii="Times New Roman" w:hAnsi="Times New Roman"/>
          <w:noProof/>
          <w:sz w:val="24"/>
        </w:rPr>
        <w:t>e.</w:t>
      </w:r>
    </w:p>
    <w:p w:rsidR="0021727D" w:rsidRDefault="0021727D">
      <w:pPr>
        <w:autoSpaceDE w:val="0"/>
        <w:autoSpaceDN w:val="0"/>
        <w:adjustRightInd w:val="0"/>
        <w:jc w:val="both"/>
        <w:rPr>
          <w:rFonts w:ascii="Times New Roman" w:hAnsi="Times New Roman"/>
          <w:noProof/>
          <w:sz w:val="24"/>
          <w:szCs w:val="24"/>
        </w:rPr>
      </w:pPr>
    </w:p>
    <w:p w:rsidR="0021727D" w:rsidRDefault="00406850">
      <w:pPr>
        <w:autoSpaceDE w:val="0"/>
        <w:autoSpaceDN w:val="0"/>
        <w:adjustRightInd w:val="0"/>
        <w:jc w:val="both"/>
        <w:rPr>
          <w:rFonts w:ascii="Times New Roman" w:hAnsi="Times New Roman"/>
          <w:noProof/>
          <w:sz w:val="24"/>
          <w:szCs w:val="24"/>
        </w:rPr>
      </w:pPr>
      <w:r>
        <w:rPr>
          <w:rFonts w:ascii="Times New Roman" w:hAnsi="Times New Roman"/>
          <w:noProof/>
          <w:sz w:val="24"/>
        </w:rPr>
        <w:t>Sunt necesare eforturi suplimentare pentru abordarea condițiilor îngrozitoare cu care se confruntă numeroși migranți și refugiați. Începând din 2016, Fondul fiduciar a alocat aproape 135 de milioane EUR pentru protecția migranților din Libia, iar acest</w:t>
      </w:r>
      <w:r>
        <w:rPr>
          <w:rFonts w:ascii="Times New Roman" w:hAnsi="Times New Roman"/>
          <w:noProof/>
          <w:sz w:val="24"/>
        </w:rPr>
        <w:t xml:space="preserve"> efort trebuie să fie susținut. Acțiunile întreprinse includ asistența la debarcare, precum și înregistrarea și trasabilitatea persoanelor debarcate. Sunt în curs de desfășurare proiecte de îmbunătățire a procedurilor și a condițiilor, pentru început în ac</w:t>
      </w:r>
      <w:r>
        <w:rPr>
          <w:rFonts w:ascii="Times New Roman" w:hAnsi="Times New Roman"/>
          <w:noProof/>
          <w:sz w:val="24"/>
        </w:rPr>
        <w:t>eastă etapă-cheie, și ulterior, după transferul către centrele de luare în custodie publică. În decembrie 2018, autoritățile libiene au autorizat, de asemenea, deschiderea Mecanismului de grupare și plecare al UNCHR– o platformă menită să contribuie la eva</w:t>
      </w:r>
      <w:r>
        <w:rPr>
          <w:rFonts w:ascii="Times New Roman" w:hAnsi="Times New Roman"/>
          <w:noProof/>
          <w:sz w:val="24"/>
        </w:rPr>
        <w:t>cuarea rapidă a refugiaților și a solicitanților de azil. Aceasta ar putea fi, de asemenea, o soluție temporară pentru minorii neînsoțiți și pentru alte grupuri vulnerabile. UE va face, în continuare, presiuni pentru a asigura accesul nestânjenit și perman</w:t>
      </w:r>
      <w:r>
        <w:rPr>
          <w:rFonts w:ascii="Times New Roman" w:hAnsi="Times New Roman"/>
          <w:noProof/>
          <w:sz w:val="24"/>
        </w:rPr>
        <w:t>ent al organizațiilor umanitare și al agențiilor ONU, pentru a îmbunătăți condițiile din centrele de luare în custodie publică, pentru a propune mai multe soluții alternative la luarea în custodie și pentru a pune capăt, în cele din urmă, actualului sistem</w:t>
      </w:r>
      <w:r>
        <w:rPr>
          <w:rFonts w:ascii="Times New Roman" w:hAnsi="Times New Roman"/>
          <w:noProof/>
          <w:sz w:val="24"/>
        </w:rPr>
        <w:t xml:space="preserve"> de luare în custodie publică. </w:t>
      </w:r>
    </w:p>
    <w:p w:rsidR="0021727D" w:rsidRDefault="0021727D">
      <w:pPr>
        <w:autoSpaceDE w:val="0"/>
        <w:autoSpaceDN w:val="0"/>
        <w:adjustRightInd w:val="0"/>
        <w:jc w:val="both"/>
        <w:rPr>
          <w:rFonts w:ascii="Times New Roman" w:hAnsi="Times New Roman"/>
          <w:noProof/>
          <w:sz w:val="24"/>
          <w:szCs w:val="24"/>
        </w:rPr>
      </w:pPr>
    </w:p>
    <w:p w:rsidR="0021727D" w:rsidRDefault="00406850">
      <w:pPr>
        <w:autoSpaceDE w:val="0"/>
        <w:autoSpaceDN w:val="0"/>
        <w:adjustRightInd w:val="0"/>
        <w:jc w:val="both"/>
        <w:rPr>
          <w:rFonts w:ascii="Times New Roman" w:hAnsi="Times New Roman"/>
          <w:noProof/>
          <w:sz w:val="24"/>
          <w:szCs w:val="24"/>
        </w:rPr>
      </w:pPr>
      <w:r>
        <w:rPr>
          <w:rFonts w:ascii="Times New Roman" w:hAnsi="Times New Roman"/>
          <w:noProof/>
          <w:sz w:val="24"/>
        </w:rPr>
        <w:t>Întrucât doar o mică parte a migranților din Libia se află în custodie în centrele controlate de guvern, sprijinul acordat comunităților locale este esențial. Cheltuielile cu asistența medicală, școlarizarea și infrastructu</w:t>
      </w:r>
      <w:r>
        <w:rPr>
          <w:rFonts w:ascii="Times New Roman" w:hAnsi="Times New Roman"/>
          <w:noProof/>
          <w:sz w:val="24"/>
        </w:rPr>
        <w:t xml:space="preserve">ra socială de bază sunt toate finanțate prin intermediul programelor UE. În 2018, în cadrul Fondului fiduciar al UE pentru Africa, în Libia s-au aprobat patru noi programe, în valoare totală de 156 de milioane EUR. </w:t>
      </w:r>
    </w:p>
    <w:p w:rsidR="0021727D" w:rsidRDefault="0021727D">
      <w:pPr>
        <w:autoSpaceDE w:val="0"/>
        <w:autoSpaceDN w:val="0"/>
        <w:adjustRightInd w:val="0"/>
        <w:jc w:val="both"/>
        <w:rPr>
          <w:rFonts w:ascii="Times New Roman" w:hAnsi="Times New Roman"/>
          <w:noProof/>
          <w:sz w:val="24"/>
          <w:szCs w:val="24"/>
        </w:rPr>
      </w:pPr>
    </w:p>
    <w:p w:rsidR="0021727D" w:rsidRDefault="00406850">
      <w:pPr>
        <w:autoSpaceDE w:val="0"/>
        <w:autoSpaceDN w:val="0"/>
        <w:adjustRightInd w:val="0"/>
        <w:jc w:val="both"/>
        <w:rPr>
          <w:rFonts w:ascii="Times New Roman" w:hAnsi="Times New Roman"/>
          <w:noProof/>
          <w:sz w:val="24"/>
          <w:szCs w:val="24"/>
        </w:rPr>
      </w:pPr>
      <w:r>
        <w:rPr>
          <w:rFonts w:ascii="Times New Roman" w:hAnsi="Times New Roman"/>
          <w:noProof/>
          <w:sz w:val="24"/>
        </w:rPr>
        <w:t>Aproape 90 000 de refugiați și de migra</w:t>
      </w:r>
      <w:r>
        <w:rPr>
          <w:rFonts w:ascii="Times New Roman" w:hAnsi="Times New Roman"/>
          <w:noProof/>
          <w:sz w:val="24"/>
        </w:rPr>
        <w:t>nți vulnerabili au beneficiat de asistență medicală, beneficiind de servicii medicale primare și de specialitate, de consultații și controale medicale. Aceste eforturi se vor intensifica, acordându-se prioritate returnărilor voluntare asistate, accelerării</w:t>
      </w:r>
      <w:r>
        <w:rPr>
          <w:rFonts w:ascii="Times New Roman" w:hAnsi="Times New Roman"/>
          <w:noProof/>
          <w:sz w:val="24"/>
        </w:rPr>
        <w:t xml:space="preserve"> evacuării minorilor și a altor persoane vulnerabile, îmbunătățirii condițiilor de luare în custodie și promovării alternativelor la luare în custodie publică. În paralel, de ajutorul umanitar furnizat de UE în Libia au beneficiat aproximativ 700 000 dintr</w:t>
      </w:r>
      <w:r>
        <w:rPr>
          <w:rFonts w:ascii="Times New Roman" w:hAnsi="Times New Roman"/>
          <w:noProof/>
          <w:sz w:val="24"/>
        </w:rPr>
        <w:t>e persoanele cele mai vulnerabile afectate de conflict, inclusiv persoane strămutate în interiorul țării.</w:t>
      </w:r>
    </w:p>
    <w:p w:rsidR="0021727D" w:rsidRDefault="0021727D">
      <w:pPr>
        <w:autoSpaceDE w:val="0"/>
        <w:autoSpaceDN w:val="0"/>
        <w:adjustRightInd w:val="0"/>
        <w:jc w:val="both"/>
        <w:rPr>
          <w:rFonts w:ascii="Times New Roman" w:hAnsi="Times New Roman"/>
          <w:noProof/>
          <w:sz w:val="24"/>
          <w:szCs w:val="24"/>
        </w:rPr>
      </w:pPr>
    </w:p>
    <w:p w:rsidR="0021727D" w:rsidRDefault="00406850">
      <w:pPr>
        <w:keepNext/>
        <w:spacing w:after="120"/>
        <w:jc w:val="both"/>
        <w:rPr>
          <w:rFonts w:ascii="Times New Roman" w:hAnsi="Times New Roman"/>
          <w:i/>
          <w:noProof/>
          <w:sz w:val="24"/>
          <w:szCs w:val="24"/>
        </w:rPr>
      </w:pPr>
      <w:r>
        <w:rPr>
          <w:rFonts w:ascii="Times New Roman" w:hAnsi="Times New Roman"/>
          <w:i/>
          <w:noProof/>
          <w:sz w:val="24"/>
        </w:rPr>
        <w:t xml:space="preserve">Estul Mediteranei: îmbunătățirea condițiilor din Grecia </w:t>
      </w:r>
    </w:p>
    <w:p w:rsidR="0021727D" w:rsidRDefault="00406850">
      <w:pPr>
        <w:pStyle w:val="Default"/>
        <w:jc w:val="both"/>
        <w:rPr>
          <w:noProof/>
        </w:rPr>
      </w:pPr>
      <w:r>
        <w:rPr>
          <w:noProof/>
        </w:rPr>
        <w:t>Angajamentul continuu privind punerea în aplicare a Declarației UE-Turcia, precum și sprijin</w:t>
      </w:r>
      <w:r>
        <w:rPr>
          <w:noProof/>
        </w:rPr>
        <w:t>ul financiar și operațional semnificativ pe care îl acordă UE începând din 2015 au contribuit în mod semnificativ la diminuarea presiunii asupra insulelor grecești</w:t>
      </w:r>
      <w:r>
        <w:rPr>
          <w:rStyle w:val="FootnoteReference"/>
          <w:noProof/>
        </w:rPr>
        <w:footnoteReference w:id="23"/>
      </w:r>
      <w:r>
        <w:rPr>
          <w:noProof/>
        </w:rPr>
        <w:t xml:space="preserve">. Sunt în curs acțiuni suplimentare. Autoritățile elene au adoptat o serie de măsuri pentru </w:t>
      </w:r>
      <w:r>
        <w:rPr>
          <w:noProof/>
        </w:rPr>
        <w:t>prelucrarea mai rapidă a cererilor de azil, printre care se numără asigurarea unui număr mai mare de medici pentru evaluările vulnerabilității, crearea de unități de azil mobile și sporirea numărului de comitete de apel. Sunt în curs proiecte-pilot care vi</w:t>
      </w:r>
      <w:r>
        <w:rPr>
          <w:noProof/>
        </w:rPr>
        <w:t xml:space="preserve">zează găsirea altor modalități de îmbunătățire a fluxului de lucru pentru prelucrarea cererilor de azil. Acest lucru ar trebui să ducă la sporirea eficacității returnărilor, în special în temeiul Declarației UE-Turcia, și la îmbunătățirea condițiilor prin </w:t>
      </w:r>
      <w:r>
        <w:rPr>
          <w:noProof/>
        </w:rPr>
        <w:t xml:space="preserve">reducerea supraaglomerării din insule. </w:t>
      </w:r>
    </w:p>
    <w:p w:rsidR="0021727D" w:rsidRDefault="0021727D">
      <w:pPr>
        <w:pStyle w:val="Default"/>
        <w:jc w:val="both"/>
        <w:rPr>
          <w:noProof/>
        </w:rPr>
      </w:pPr>
    </w:p>
    <w:p w:rsidR="0021727D" w:rsidRDefault="00406850">
      <w:pPr>
        <w:pStyle w:val="Default"/>
        <w:spacing w:after="120"/>
        <w:jc w:val="both"/>
        <w:rPr>
          <w:noProof/>
        </w:rPr>
      </w:pPr>
      <w:r>
        <w:rPr>
          <w:noProof/>
        </w:rPr>
        <w:t>Cu toate acestea, dacă se dorește soluționarea numeroaselor probleme rămase, va fi crucial ca guvernul elen să își asume un rol de conducere și să dea dovadă de un angajament puternic. UE va continua să acorde Greci</w:t>
      </w:r>
      <w:r>
        <w:rPr>
          <w:noProof/>
        </w:rPr>
        <w:t>ei sprijin financiar</w:t>
      </w:r>
      <w:r>
        <w:rPr>
          <w:rStyle w:val="FootnoteReference"/>
          <w:noProof/>
        </w:rPr>
        <w:footnoteReference w:id="24"/>
      </w:r>
      <w:r>
        <w:rPr>
          <w:noProof/>
        </w:rPr>
        <w:t>, iar agențiile UE vor oferi, în continuare, expertiză. De asemenea, este esențial ca statele membre să continue să pună la dispoziție sprijin suficient pentru ca agențiile UE să își poată desfășura activitatea. Este necesar ca autorit</w:t>
      </w:r>
      <w:r>
        <w:rPr>
          <w:noProof/>
        </w:rPr>
        <w:t>ățile elene să întreprindă acțiuni urgente și coordonate pentru a furniza:</w:t>
      </w:r>
    </w:p>
    <w:p w:rsidR="0021727D" w:rsidRDefault="00406850">
      <w:pPr>
        <w:pStyle w:val="Default"/>
        <w:numPr>
          <w:ilvl w:val="0"/>
          <w:numId w:val="62"/>
        </w:numPr>
        <w:spacing w:after="120"/>
        <w:ind w:left="425"/>
        <w:jc w:val="both"/>
        <w:rPr>
          <w:noProof/>
        </w:rPr>
      </w:pPr>
      <w:r>
        <w:rPr>
          <w:noProof/>
        </w:rPr>
        <w:t>proceduri de azil mai eficiente care să asigure prelucrarea mai rapidă a cererilor de azil;</w:t>
      </w:r>
    </w:p>
    <w:p w:rsidR="0021727D" w:rsidRDefault="00406850">
      <w:pPr>
        <w:pStyle w:val="Default"/>
        <w:numPr>
          <w:ilvl w:val="0"/>
          <w:numId w:val="62"/>
        </w:numPr>
        <w:spacing w:after="120"/>
        <w:ind w:left="425"/>
        <w:jc w:val="both"/>
        <w:rPr>
          <w:noProof/>
        </w:rPr>
      </w:pPr>
      <w:r>
        <w:rPr>
          <w:noProof/>
        </w:rPr>
        <w:t>sporirea numărului de returnări prin utilizarea la maximum a programelor de returnare vol</w:t>
      </w:r>
      <w:r>
        <w:rPr>
          <w:noProof/>
        </w:rPr>
        <w:t xml:space="preserve">untară asistată, sprijinite de programe de reintegrare. În cazul în care este necesar să se recurgă la returnare forțată, trebuie să se pună la dispoziție centre adecvate de luare în custodie publică prealabilă îndepărtării, în conformitate cu standardele </w:t>
      </w:r>
      <w:r>
        <w:rPr>
          <w:noProof/>
        </w:rPr>
        <w:t xml:space="preserve">aplicabile privind </w:t>
      </w:r>
      <w:r>
        <w:rPr>
          <w:noProof/>
        </w:rPr>
        <w:lastRenderedPageBreak/>
        <w:t>drepturile omului. Acest lucru necesită un flux de lucru operațional eficient, care să acorde prioritate grupurilor importante în toate etapele procesului</w:t>
      </w:r>
      <w:r>
        <w:rPr>
          <w:rStyle w:val="FootnoteReference"/>
          <w:noProof/>
        </w:rPr>
        <w:footnoteReference w:id="25"/>
      </w:r>
      <w:r>
        <w:rPr>
          <w:noProof/>
        </w:rPr>
        <w:t xml:space="preserve">; </w:t>
      </w:r>
    </w:p>
    <w:p w:rsidR="0021727D" w:rsidRDefault="00406850">
      <w:pPr>
        <w:pStyle w:val="Default"/>
        <w:numPr>
          <w:ilvl w:val="0"/>
          <w:numId w:val="62"/>
        </w:numPr>
        <w:spacing w:after="120"/>
        <w:ind w:left="425"/>
        <w:jc w:val="both"/>
        <w:rPr>
          <w:noProof/>
        </w:rPr>
      </w:pPr>
      <w:r>
        <w:rPr>
          <w:noProof/>
        </w:rPr>
        <w:t>un cadru administrativ și de reglementare care să asigure funcționarea și monit</w:t>
      </w:r>
      <w:r>
        <w:rPr>
          <w:noProof/>
        </w:rPr>
        <w:t>orizarea capacității de primire și punerea la dispoziție a tuturor serviciilor relevante;</w:t>
      </w:r>
    </w:p>
    <w:p w:rsidR="0021727D" w:rsidRDefault="00406850">
      <w:pPr>
        <w:pStyle w:val="ListParagraph"/>
        <w:numPr>
          <w:ilvl w:val="0"/>
          <w:numId w:val="58"/>
        </w:numPr>
        <w:spacing w:after="120"/>
        <w:ind w:left="425"/>
        <w:contextualSpacing w:val="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punerea la dispoziție cât mai rapid posibil a cel puțin 2 000 de locuri de cazare adecvate pentru minorii neînsoțiți, precum și finalizarea și punerea în aplicare a unei strategii naționale cuprinzătoare care să asigure deplina protecție a minorilor neînso</w:t>
      </w:r>
      <w:r>
        <w:rPr>
          <w:rFonts w:ascii="Times New Roman" w:eastAsiaTheme="minorHAnsi" w:hAnsi="Times New Roman"/>
          <w:noProof/>
          <w:color w:val="000000"/>
          <w:sz w:val="24"/>
        </w:rPr>
        <w:t>ț</w:t>
      </w:r>
      <w:r>
        <w:rPr>
          <w:rFonts w:ascii="Times New Roman" w:eastAsiaTheme="minorHAnsi" w:hAnsi="Times New Roman"/>
          <w:noProof/>
          <w:color w:val="000000"/>
          <w:sz w:val="24"/>
        </w:rPr>
        <w:t xml:space="preserve">iți; </w:t>
      </w:r>
    </w:p>
    <w:p w:rsidR="0021727D" w:rsidRDefault="00406850">
      <w:pPr>
        <w:pStyle w:val="ListParagraph"/>
        <w:numPr>
          <w:ilvl w:val="0"/>
          <w:numId w:val="58"/>
        </w:numPr>
        <w:spacing w:after="240"/>
        <w:ind w:left="426"/>
        <w:contextualSpacing w:val="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un mecanism îmbunătățit de referire către centrele de cazare deschise pentru solicitanții de protecție internațională și persoanele vulnerabile și o cooperare între autoritățile competente.</w:t>
      </w:r>
    </w:p>
    <w:p w:rsidR="0021727D" w:rsidRDefault="00406850">
      <w:pPr>
        <w:spacing w:after="24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În acest scop este necesară o strategie națională elenă efi</w:t>
      </w:r>
      <w:r>
        <w:rPr>
          <w:rFonts w:ascii="Times New Roman" w:eastAsiaTheme="minorHAnsi" w:hAnsi="Times New Roman"/>
          <w:noProof/>
          <w:color w:val="000000"/>
          <w:sz w:val="24"/>
        </w:rPr>
        <w:t>cace și durabilă în materie de gestionare a migrației. Pentru aceasta, este nevoie de o cooperare și o coordonare eficace între toate autoritățile naționale relevante, cu fluxuri de lucru operaționale și reguli comune în materie de stabilire a priorității.</w:t>
      </w:r>
    </w:p>
    <w:p w:rsidR="0021727D" w:rsidRDefault="00406850">
      <w:pPr>
        <w:keepNext/>
        <w:spacing w:after="120"/>
        <w:jc w:val="both"/>
        <w:rPr>
          <w:rFonts w:ascii="Times New Roman" w:hAnsi="Times New Roman"/>
          <w:i/>
          <w:noProof/>
          <w:sz w:val="24"/>
        </w:rPr>
      </w:pPr>
      <w:r>
        <w:rPr>
          <w:rFonts w:ascii="Times New Roman" w:hAnsi="Times New Roman"/>
          <w:i/>
          <w:noProof/>
          <w:sz w:val="24"/>
        </w:rPr>
        <w:t>Necesitatea unor măsuri temporare în materie de debarcare în UE</w:t>
      </w:r>
    </w:p>
    <w:p w:rsidR="0021727D" w:rsidRDefault="00406850">
      <w:pPr>
        <w:jc w:val="both"/>
        <w:rPr>
          <w:rFonts w:ascii="Times New Roman" w:hAnsi="Times New Roman"/>
          <w:noProof/>
          <w:color w:val="000000"/>
          <w:sz w:val="24"/>
        </w:rPr>
      </w:pPr>
      <w:r>
        <w:rPr>
          <w:rFonts w:ascii="Times New Roman" w:hAnsi="Times New Roman"/>
          <w:noProof/>
          <w:sz w:val="24"/>
        </w:rPr>
        <w:t xml:space="preserve">În vara anului 2018 au existat deja mai multe cazuri în care statele membre nu au putut conveni rapid cu privire la măsurile privind debarcarea și monitorizarea. Prin urmare, soluțiile puse în aplicare au avut un caracter limitat și </w:t>
      </w:r>
      <w:r>
        <w:rPr>
          <w:rFonts w:ascii="Times New Roman" w:hAnsi="Times New Roman"/>
          <w:i/>
          <w:noProof/>
          <w:sz w:val="24"/>
        </w:rPr>
        <w:t>ad hoc</w:t>
      </w:r>
      <w:r>
        <w:rPr>
          <w:rFonts w:ascii="Times New Roman" w:hAnsi="Times New Roman"/>
          <w:noProof/>
          <w:sz w:val="24"/>
        </w:rPr>
        <w:t>. În ianuarie 201</w:t>
      </w:r>
      <w:r>
        <w:rPr>
          <w:rFonts w:ascii="Times New Roman" w:hAnsi="Times New Roman"/>
          <w:noProof/>
          <w:sz w:val="24"/>
        </w:rPr>
        <w:t xml:space="preserve">9, necesitatea de a găsi o soluție pentru nava de salvare </w:t>
      </w:r>
      <w:r>
        <w:rPr>
          <w:rFonts w:ascii="Times New Roman" w:hAnsi="Times New Roman"/>
          <w:i/>
          <w:noProof/>
          <w:sz w:val="24"/>
        </w:rPr>
        <w:t>Sea-Watch 3</w:t>
      </w:r>
      <w:r>
        <w:rPr>
          <w:rFonts w:ascii="Times New Roman" w:hAnsi="Times New Roman"/>
          <w:noProof/>
          <w:sz w:val="24"/>
        </w:rPr>
        <w:t xml:space="preserve"> a declanșat un efort deosebit de coordonare între mai multe state membre, Comisie și agențiile relevante. Deși era vorba de un număr mic de persoane, această experiență practică, care a </w:t>
      </w:r>
      <w:r>
        <w:rPr>
          <w:rFonts w:ascii="Times New Roman" w:hAnsi="Times New Roman"/>
          <w:noProof/>
          <w:sz w:val="24"/>
        </w:rPr>
        <w:t>dovedit că se dorește găsirea unui cadru mai eficient de cooperare într-un spirit de solidaritate, poate fi o sursă de inspirație pentru eforturile de punere în aplicare a unei abordări mai sistematice și mai coordonate a UE, sub formă de măsuri temporare,</w:t>
      </w:r>
      <w:r>
        <w:rPr>
          <w:rFonts w:ascii="Times New Roman" w:hAnsi="Times New Roman"/>
          <w:noProof/>
          <w:sz w:val="24"/>
        </w:rPr>
        <w:t xml:space="preserve"> în ceea ce privește debarcarea, primirea inițială, înregistrarea și transferul. </w:t>
      </w:r>
      <w:r>
        <w:rPr>
          <w:rFonts w:ascii="Times New Roman" w:hAnsi="Times New Roman"/>
          <w:noProof/>
          <w:color w:val="000000"/>
          <w:sz w:val="24"/>
        </w:rPr>
        <w:t xml:space="preserve">Aceasta ar putea însemna un plan de lucru în etape și transparent, care să garanteze că statul membru în cauză primește asistența operațională și eficientă de care are nevoie </w:t>
      </w:r>
      <w:r>
        <w:rPr>
          <w:rFonts w:ascii="Times New Roman" w:hAnsi="Times New Roman"/>
          <w:noProof/>
          <w:color w:val="000000"/>
          <w:sz w:val="24"/>
        </w:rPr>
        <w:t>din partea Comisiei, a agențiilor UE și a celorlalte state membre.</w:t>
      </w:r>
    </w:p>
    <w:p w:rsidR="0021727D" w:rsidRDefault="0021727D">
      <w:pPr>
        <w:jc w:val="both"/>
        <w:rPr>
          <w:rFonts w:ascii="Times New Roman" w:hAnsi="Times New Roman"/>
          <w:noProof/>
          <w:color w:val="000000"/>
          <w:sz w:val="24"/>
        </w:rPr>
      </w:pPr>
    </w:p>
    <w:p w:rsidR="0021727D" w:rsidRDefault="00406850">
      <w:pPr>
        <w:jc w:val="both"/>
        <w:rPr>
          <w:rFonts w:ascii="Times New Roman" w:hAnsi="Times New Roman"/>
          <w:noProof/>
          <w:color w:val="000000" w:themeColor="text1"/>
          <w:sz w:val="24"/>
          <w:szCs w:val="24"/>
        </w:rPr>
      </w:pPr>
      <w:r>
        <w:rPr>
          <w:rFonts w:ascii="Times New Roman" w:hAnsi="Times New Roman"/>
          <w:noProof/>
          <w:sz w:val="24"/>
        </w:rPr>
        <w:t>Deși finalizarea rapidă a procesului legislativ de reformă a sistemului european comun de azil rămâne o prioritate, Comisia a subliniat deja, în decembrie 2018, valoarea unor astfel de măs</w:t>
      </w:r>
      <w:r>
        <w:rPr>
          <w:rFonts w:ascii="Times New Roman" w:hAnsi="Times New Roman"/>
          <w:noProof/>
          <w:sz w:val="24"/>
        </w:rPr>
        <w:t>uri temporare</w:t>
      </w:r>
      <w:r>
        <w:rPr>
          <w:rStyle w:val="FootnoteReference"/>
          <w:rFonts w:ascii="Times New Roman" w:hAnsi="Times New Roman"/>
          <w:noProof/>
          <w:sz w:val="24"/>
        </w:rPr>
        <w:footnoteReference w:id="26"/>
      </w:r>
      <w:r>
        <w:rPr>
          <w:rFonts w:ascii="Times New Roman" w:hAnsi="Times New Roman"/>
          <w:noProof/>
          <w:sz w:val="24"/>
        </w:rPr>
        <w:t>, ca o abordare coordonată în ceea ce privește debarcarea și alte situații de presiune deosebită în UE.</w:t>
      </w:r>
      <w:r>
        <w:rPr>
          <w:rFonts w:ascii="Times New Roman" w:hAnsi="Times New Roman"/>
          <w:noProof/>
          <w:color w:val="000000" w:themeColor="text1"/>
          <w:sz w:val="24"/>
        </w:rPr>
        <w:t xml:space="preserve"> </w:t>
      </w:r>
      <w:r>
        <w:rPr>
          <w:rFonts w:ascii="Times New Roman" w:hAnsi="Times New Roman"/>
          <w:noProof/>
          <w:sz w:val="24"/>
        </w:rPr>
        <w:t>Astfel de măsuri ar însemna punerea în practică a principiilor solidarității și responsabilității, pe baza unei înțelegeri reciproce a int</w:t>
      </w:r>
      <w:r>
        <w:rPr>
          <w:rFonts w:ascii="Times New Roman" w:hAnsi="Times New Roman"/>
          <w:noProof/>
          <w:sz w:val="24"/>
        </w:rPr>
        <w:t>ereselor comune și partajate, sub forma unui mecanism de tranziție, până în momentul în care reforma legislativă va fi finalizată și va deveni aplicabilă. UE ar fi, într-adevăr, mult mai bine pregătită decât în prezent să ofere o solidaritate concretă, înt</w:t>
      </w:r>
      <w:r>
        <w:rPr>
          <w:rFonts w:ascii="Times New Roman" w:hAnsi="Times New Roman"/>
          <w:noProof/>
          <w:sz w:val="24"/>
        </w:rPr>
        <w:t>r-un mod structurat, eficient și flexibil, asigurând în același timp prevenirea eficace a deplasărilor secundare și a factorilor de atracție. Pentru ca această abordare să funcționeze, este nevoie de participarea cât mai multor state membre. Mai jos sunt e</w:t>
      </w:r>
      <w:r>
        <w:rPr>
          <w:rFonts w:ascii="Times New Roman" w:hAnsi="Times New Roman"/>
          <w:noProof/>
          <w:sz w:val="24"/>
        </w:rPr>
        <w:t>numerate câteva exemple de elemente-cheie ale unor astfel de măsuri temporare:</w:t>
      </w:r>
    </w:p>
    <w:p w:rsidR="0021727D" w:rsidRDefault="0021727D">
      <w:pPr>
        <w:ind w:left="426" w:hanging="426"/>
        <w:jc w:val="both"/>
        <w:rPr>
          <w:rFonts w:ascii="Times New Roman" w:hAnsi="Times New Roman"/>
          <w:noProof/>
          <w:sz w:val="24"/>
          <w:szCs w:val="24"/>
        </w:rPr>
      </w:pPr>
    </w:p>
    <w:p w:rsidR="0021727D" w:rsidRDefault="00406850">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lastRenderedPageBreak/>
        <w:t>în cazul în care un stat membru este supus unor presiuni sau trebuie să contribuie la o debarcare rapidă după o operațiune de căutare și salvare, statul membru în cauză solicit</w:t>
      </w:r>
      <w:r>
        <w:rPr>
          <w:rFonts w:ascii="Times New Roman" w:hAnsi="Times New Roman"/>
          <w:noProof/>
          <w:sz w:val="24"/>
        </w:rPr>
        <w:t xml:space="preserve">ă asistență; </w:t>
      </w:r>
    </w:p>
    <w:p w:rsidR="0021727D" w:rsidRDefault="00406850">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ca răspuns la solicitarea respectivă, va trebui definit sprijinul specific pe care statele membre îl pot furniza prin intermediul măsurilor de solidaritate; măsurile de solidaritate oferite de statele membre trebuie să fie echilibrate de stat</w:t>
      </w:r>
      <w:r>
        <w:rPr>
          <w:rFonts w:ascii="Times New Roman" w:hAnsi="Times New Roman"/>
          <w:noProof/>
          <w:sz w:val="24"/>
        </w:rPr>
        <w:t xml:space="preserve">ele membre care beneficiază de sprijin prin îndeplinirea responsabilității care le revine de a lua măsuri adecvate pentru gestionarea sosirilor; </w:t>
      </w:r>
    </w:p>
    <w:p w:rsidR="0021727D" w:rsidRDefault="00406850">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ar trebui să se creeze o structură de coordonare pentru monitorizarea unor astfel de cereri de către statele m</w:t>
      </w:r>
      <w:r>
        <w:rPr>
          <w:rFonts w:ascii="Times New Roman" w:hAnsi="Times New Roman"/>
          <w:noProof/>
          <w:sz w:val="24"/>
        </w:rPr>
        <w:t xml:space="preserve">embre, cu participarea principalelor părți interesate, cum ar fi Comisia și agențiile UE; </w:t>
      </w:r>
    </w:p>
    <w:p w:rsidR="0021727D" w:rsidRDefault="00406850">
      <w:pPr>
        <w:pStyle w:val="ListParagraph"/>
        <w:numPr>
          <w:ilvl w:val="0"/>
          <w:numId w:val="54"/>
        </w:numPr>
        <w:spacing w:after="120"/>
        <w:ind w:left="426" w:hanging="426"/>
        <w:contextualSpacing w:val="0"/>
        <w:jc w:val="both"/>
        <w:rPr>
          <w:rFonts w:ascii="Times New Roman" w:hAnsi="Times New Roman"/>
          <w:noProof/>
          <w:sz w:val="24"/>
          <w:szCs w:val="24"/>
        </w:rPr>
      </w:pPr>
      <w:r>
        <w:rPr>
          <w:rFonts w:ascii="Times New Roman" w:hAnsi="Times New Roman"/>
          <w:noProof/>
          <w:sz w:val="24"/>
        </w:rPr>
        <w:t xml:space="preserve">agențiile UE sunt bine pregătite pentru a oferi asistența necesară în domenii cum ar fi primirea inițială, înregistrarea, transferul și returnarea; </w:t>
      </w:r>
    </w:p>
    <w:p w:rsidR="0021727D" w:rsidRDefault="00406850">
      <w:pPr>
        <w:pStyle w:val="ListParagraph"/>
        <w:numPr>
          <w:ilvl w:val="0"/>
          <w:numId w:val="73"/>
        </w:numPr>
        <w:ind w:left="426" w:hanging="426"/>
        <w:jc w:val="both"/>
        <w:rPr>
          <w:rFonts w:ascii="Times New Roman" w:hAnsi="Times New Roman"/>
          <w:noProof/>
          <w:sz w:val="24"/>
          <w:szCs w:val="24"/>
        </w:rPr>
      </w:pPr>
      <w:r>
        <w:rPr>
          <w:rFonts w:ascii="Times New Roman" w:hAnsi="Times New Roman"/>
          <w:noProof/>
          <w:sz w:val="24"/>
        </w:rPr>
        <w:t>se va pune la di</w:t>
      </w:r>
      <w:r>
        <w:rPr>
          <w:rFonts w:ascii="Times New Roman" w:hAnsi="Times New Roman"/>
          <w:noProof/>
          <w:sz w:val="24"/>
        </w:rPr>
        <w:t>spoziție sprijin financiar din bugetul UE pentru statele membre care pun în aplicare măsuri de transfer voluntar și pentru a susține operațiunile de returnare. Statele membre aflate sub presiune ar urma să beneficieze, de asemenea, de sprijin financiar.</w:t>
      </w:r>
    </w:p>
    <w:p w:rsidR="0021727D" w:rsidRDefault="0021727D">
      <w:pPr>
        <w:rPr>
          <w:rFonts w:ascii="Times New Roman" w:hAnsi="Times New Roman"/>
          <w:noProof/>
          <w:sz w:val="24"/>
        </w:rPr>
      </w:pPr>
    </w:p>
    <w:tbl>
      <w:tblPr>
        <w:tblStyle w:val="TableGrid"/>
        <w:tblW w:w="0" w:type="auto"/>
        <w:tblLook w:val="04A0" w:firstRow="1" w:lastRow="0" w:firstColumn="1" w:lastColumn="0" w:noHBand="0" w:noVBand="1"/>
      </w:tblPr>
      <w:tblGrid>
        <w:gridCol w:w="9286"/>
      </w:tblGrid>
      <w:tr w:rsidR="0021727D">
        <w:tc>
          <w:tcPr>
            <w:tcW w:w="9286" w:type="dxa"/>
            <w:shd w:val="clear" w:color="auto" w:fill="1F497D" w:themeFill="text2"/>
          </w:tcPr>
          <w:p w:rsidR="0021727D" w:rsidRDefault="00406850">
            <w:pPr>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E</w:t>
            </w:r>
            <w:r>
              <w:rPr>
                <w:rFonts w:ascii="Times New Roman" w:hAnsi="Times New Roman"/>
                <w:b/>
                <w:noProof/>
                <w:color w:val="FFFFFF" w:themeColor="background1"/>
                <w:sz w:val="24"/>
              </w:rPr>
              <w:t>tapele esențiale imediate</w:t>
            </w:r>
          </w:p>
        </w:tc>
      </w:tr>
      <w:tr w:rsidR="0021727D">
        <w:tc>
          <w:tcPr>
            <w:tcW w:w="9286" w:type="dxa"/>
            <w:shd w:val="clear" w:color="auto" w:fill="C6D9F1" w:themeFill="text2" w:themeFillTint="33"/>
          </w:tcPr>
          <w:p w:rsidR="0021727D" w:rsidRDefault="00406850">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Noua asistență oferită </w:t>
            </w:r>
            <w:r>
              <w:rPr>
                <w:rFonts w:ascii="Times New Roman" w:eastAsiaTheme="minorHAnsi" w:hAnsi="Times New Roman"/>
                <w:b/>
                <w:i/>
                <w:noProof/>
                <w:color w:val="000000"/>
                <w:sz w:val="24"/>
              </w:rPr>
              <w:t>Marocului</w:t>
            </w:r>
            <w:r>
              <w:rPr>
                <w:rFonts w:ascii="Times New Roman" w:eastAsiaTheme="minorHAnsi" w:hAnsi="Times New Roman"/>
                <w:noProof/>
                <w:color w:val="000000"/>
                <w:sz w:val="24"/>
              </w:rPr>
              <w:t xml:space="preserve"> de către UE și Spania ar trebui să fie orientată către reducerea numărului de sosiri neregulamentare dinspre coasta marocană și să conducă la intensificarea colaborării cu Marocul și cu alte țări relevante, pentru a spori eficacitatea readmisiei migranțil</w:t>
            </w:r>
            <w:r>
              <w:rPr>
                <w:rFonts w:ascii="Times New Roman" w:eastAsiaTheme="minorHAnsi" w:hAnsi="Times New Roman"/>
                <w:noProof/>
                <w:color w:val="000000"/>
                <w:sz w:val="24"/>
              </w:rPr>
              <w:t>or aflați în situație neregulamentară ca parte a unei abordări cuprinzătoare.</w:t>
            </w:r>
          </w:p>
          <w:p w:rsidR="0021727D" w:rsidRDefault="00406850">
            <w:pPr>
              <w:pStyle w:val="ListParagraph"/>
              <w:numPr>
                <w:ilvl w:val="0"/>
                <w:numId w:val="68"/>
              </w:numPr>
              <w:ind w:left="360"/>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UE ar trebui să își intensifice colaborarea cu Grupul operativ al Uniunii Africane, al UE și al Organizației Națiunilor Unite pentru a îmbunătăți în continuare </w:t>
            </w:r>
            <w:r>
              <w:rPr>
                <w:rFonts w:ascii="Times New Roman" w:eastAsiaTheme="minorHAnsi" w:hAnsi="Times New Roman"/>
                <w:b/>
                <w:i/>
                <w:noProof/>
                <w:color w:val="000000"/>
                <w:sz w:val="24"/>
              </w:rPr>
              <w:t>condițiile din Lib</w:t>
            </w:r>
            <w:r>
              <w:rPr>
                <w:rFonts w:ascii="Times New Roman" w:eastAsiaTheme="minorHAnsi" w:hAnsi="Times New Roman"/>
                <w:b/>
                <w:i/>
                <w:noProof/>
                <w:color w:val="000000"/>
                <w:sz w:val="24"/>
              </w:rPr>
              <w:t>ia</w:t>
            </w:r>
            <w:r>
              <w:rPr>
                <w:rFonts w:ascii="Times New Roman" w:eastAsiaTheme="minorHAnsi" w:hAnsi="Times New Roman"/>
                <w:noProof/>
                <w:color w:val="000000"/>
                <w:sz w:val="24"/>
              </w:rPr>
              <w:t xml:space="preserve"> și să depună eforturi pentru a pune capăt actualului sistem al centrelor de luare în custodie, precum și pentru depășirea obstacolelor din calea accesului organizațiilor internaționale și a returnării voluntare a migranților și a evacuării refugiaților;</w:t>
            </w:r>
            <w:r>
              <w:rPr>
                <w:rFonts w:ascii="Times New Roman" w:eastAsiaTheme="minorHAnsi" w:hAnsi="Times New Roman"/>
                <w:noProof/>
                <w:color w:val="000000"/>
                <w:sz w:val="24"/>
              </w:rPr>
              <w:t xml:space="preserve"> </w:t>
            </w:r>
            <w:r>
              <w:rPr>
                <w:rFonts w:ascii="Times New Roman" w:hAnsi="Times New Roman"/>
                <w:noProof/>
                <w:sz w:val="24"/>
              </w:rPr>
              <w:t xml:space="preserve">ar trebui să se asigure înregistrarea sistematică și interoperabilă a tuturor migranților debarcați și luați în custodie. </w:t>
            </w:r>
          </w:p>
          <w:p w:rsidR="0021727D" w:rsidRDefault="00406850">
            <w:pPr>
              <w:numPr>
                <w:ilvl w:val="0"/>
                <w:numId w:val="68"/>
              </w:numPr>
              <w:ind w:left="360"/>
              <w:contextualSpacing/>
              <w:jc w:val="both"/>
              <w:rPr>
                <w:rFonts w:ascii="Times New Roman" w:hAnsi="Times New Roman"/>
                <w:noProof/>
                <w:color w:val="000000"/>
                <w:sz w:val="24"/>
                <w:szCs w:val="24"/>
              </w:rPr>
            </w:pPr>
            <w:r>
              <w:rPr>
                <w:rFonts w:ascii="Times New Roman" w:eastAsiaTheme="minorHAnsi" w:hAnsi="Times New Roman"/>
                <w:b/>
                <w:i/>
                <w:noProof/>
                <w:color w:val="000000"/>
                <w:sz w:val="24"/>
              </w:rPr>
              <w:t>Grecia</w:t>
            </w:r>
            <w:r>
              <w:rPr>
                <w:rFonts w:ascii="Times New Roman" w:eastAsiaTheme="minorHAnsi" w:hAnsi="Times New Roman"/>
                <w:noProof/>
                <w:color w:val="000000"/>
                <w:sz w:val="24"/>
              </w:rPr>
              <w:t xml:space="preserve"> ar trebui să instituie de urgență o strategie națională eficace și durabilă de gestionare a migrației, pentru a soluționa def</w:t>
            </w:r>
            <w:r>
              <w:rPr>
                <w:rFonts w:ascii="Times New Roman" w:eastAsiaTheme="minorHAnsi" w:hAnsi="Times New Roman"/>
                <w:noProof/>
                <w:color w:val="000000"/>
                <w:sz w:val="24"/>
              </w:rPr>
              <w:t xml:space="preserve">iciențele rămase, cum ar fi cele privind returnarea și minorii neînsoțiți, utilizând în mod optim sprijinul important acordat de UE. </w:t>
            </w:r>
          </w:p>
          <w:p w:rsidR="0021727D" w:rsidRDefault="00406850">
            <w:pPr>
              <w:pStyle w:val="ListParagraph"/>
              <w:numPr>
                <w:ilvl w:val="0"/>
                <w:numId w:val="68"/>
              </w:numPr>
              <w:ind w:left="360"/>
              <w:jc w:val="both"/>
              <w:rPr>
                <w:rFonts w:ascii="Times New Roman" w:hAnsi="Times New Roman"/>
                <w:noProof/>
                <w:sz w:val="24"/>
              </w:rPr>
            </w:pPr>
            <w:r>
              <w:rPr>
                <w:rFonts w:ascii="Times New Roman" w:eastAsiaTheme="minorHAnsi" w:hAnsi="Times New Roman"/>
                <w:noProof/>
                <w:sz w:val="24"/>
              </w:rPr>
              <w:t xml:space="preserve">Ar trebui să se instituie un set de </w:t>
            </w:r>
            <w:r>
              <w:rPr>
                <w:rFonts w:ascii="Times New Roman" w:eastAsiaTheme="minorHAnsi" w:hAnsi="Times New Roman"/>
                <w:b/>
                <w:i/>
                <w:noProof/>
                <w:sz w:val="24"/>
              </w:rPr>
              <w:t>măsuri temporare</w:t>
            </w:r>
            <w:r>
              <w:rPr>
                <w:rFonts w:ascii="Times New Roman" w:eastAsiaTheme="minorHAnsi" w:hAnsi="Times New Roman"/>
                <w:noProof/>
                <w:sz w:val="24"/>
              </w:rPr>
              <w:t xml:space="preserve"> în materie de debarcare, la care să fie pregătite să participe, prin </w:t>
            </w:r>
            <w:r>
              <w:rPr>
                <w:rFonts w:ascii="Times New Roman" w:eastAsiaTheme="minorHAnsi" w:hAnsi="Times New Roman"/>
                <w:noProof/>
                <w:sz w:val="24"/>
              </w:rPr>
              <w:t>măsuri de solidaritate, o masă critică de state membre.</w:t>
            </w:r>
          </w:p>
        </w:tc>
      </w:tr>
    </w:tbl>
    <w:p w:rsidR="0021727D" w:rsidRDefault="0021727D">
      <w:pPr>
        <w:jc w:val="both"/>
        <w:rPr>
          <w:rFonts w:ascii="Times New Roman" w:hAnsi="Times New Roman"/>
          <w:b/>
          <w:noProof/>
          <w:color w:val="000000"/>
          <w:sz w:val="24"/>
        </w:rPr>
      </w:pPr>
    </w:p>
    <w:p w:rsidR="0021727D" w:rsidRDefault="0021727D">
      <w:pPr>
        <w:jc w:val="both"/>
        <w:rPr>
          <w:rFonts w:ascii="Times New Roman" w:hAnsi="Times New Roman"/>
          <w:b/>
          <w:noProof/>
          <w:color w:val="000000"/>
          <w:sz w:val="24"/>
          <w:szCs w:val="24"/>
        </w:rPr>
      </w:pPr>
    </w:p>
    <w:p w:rsidR="0021727D" w:rsidRDefault="00406850">
      <w:pPr>
        <w:pStyle w:val="ListParagraph"/>
        <w:numPr>
          <w:ilvl w:val="0"/>
          <w:numId w:val="2"/>
        </w:numPr>
        <w:jc w:val="both"/>
        <w:rPr>
          <w:rFonts w:ascii="Times New Roman" w:hAnsi="Times New Roman"/>
          <w:b/>
          <w:noProof/>
          <w:sz w:val="24"/>
          <w:szCs w:val="24"/>
        </w:rPr>
      </w:pPr>
      <w:r>
        <w:rPr>
          <w:rFonts w:ascii="Times New Roman" w:hAnsi="Times New Roman"/>
          <w:b/>
          <w:noProof/>
          <w:sz w:val="24"/>
        </w:rPr>
        <w:t>GESTIONAREA MIGRAȚIEI ÎN CADRUL A PATRU PILONI</w:t>
      </w:r>
    </w:p>
    <w:p w:rsidR="0021727D" w:rsidRDefault="0021727D">
      <w:pPr>
        <w:pStyle w:val="ListParagraph"/>
        <w:jc w:val="both"/>
        <w:rPr>
          <w:rFonts w:ascii="Times New Roman" w:hAnsi="Times New Roman"/>
          <w:b/>
          <w:noProof/>
          <w:sz w:val="24"/>
          <w:szCs w:val="24"/>
        </w:rPr>
      </w:pPr>
    </w:p>
    <w:p w:rsidR="0021727D" w:rsidRDefault="00406850">
      <w:pPr>
        <w:pStyle w:val="ListParagraph"/>
        <w:numPr>
          <w:ilvl w:val="0"/>
          <w:numId w:val="3"/>
        </w:numPr>
        <w:jc w:val="both"/>
        <w:rPr>
          <w:rFonts w:ascii="Times New Roman" w:hAnsi="Times New Roman"/>
          <w:b/>
          <w:i/>
          <w:noProof/>
          <w:sz w:val="24"/>
          <w:szCs w:val="24"/>
        </w:rPr>
      </w:pPr>
      <w:r>
        <w:rPr>
          <w:rFonts w:ascii="Times New Roman" w:hAnsi="Times New Roman"/>
          <w:b/>
          <w:i/>
          <w:noProof/>
          <w:sz w:val="24"/>
        </w:rPr>
        <w:t>Abordarea factorilor determinanți ai migrației neregulamentare: colaborarea cu partenerii</w:t>
      </w:r>
    </w:p>
    <w:p w:rsidR="0021727D" w:rsidRDefault="0021727D">
      <w:pPr>
        <w:jc w:val="both"/>
        <w:rPr>
          <w:rFonts w:ascii="Times New Roman" w:hAnsi="Times New Roman"/>
          <w:noProof/>
          <w:sz w:val="24"/>
          <w:szCs w:val="24"/>
        </w:rPr>
      </w:pPr>
    </w:p>
    <w:p w:rsidR="0021727D" w:rsidRDefault="00406850">
      <w:pPr>
        <w:jc w:val="both"/>
        <w:rPr>
          <w:rFonts w:ascii="Times New Roman" w:hAnsi="Times New Roman"/>
          <w:noProof/>
          <w:color w:val="000000"/>
          <w:sz w:val="24"/>
          <w:szCs w:val="24"/>
        </w:rPr>
      </w:pPr>
      <w:r>
        <w:rPr>
          <w:rFonts w:ascii="Times New Roman" w:hAnsi="Times New Roman"/>
          <w:noProof/>
          <w:color w:val="000000"/>
          <w:sz w:val="24"/>
        </w:rPr>
        <w:t xml:space="preserve">Migrația a devenit, de la adoptarea Cadrului de </w:t>
      </w:r>
      <w:r>
        <w:rPr>
          <w:rFonts w:ascii="Times New Roman" w:hAnsi="Times New Roman"/>
          <w:noProof/>
          <w:color w:val="000000"/>
          <w:sz w:val="24"/>
        </w:rPr>
        <w:t>parteneriat privind migrația, un element central al relațiilor externe ale UE, parteneriatele globale și cooperarea pe termen lung fiind esențiale pentru gestionarea tuturor aspectele legate de migrație</w:t>
      </w:r>
      <w:r>
        <w:rPr>
          <w:rStyle w:val="FootnoteReference"/>
          <w:rFonts w:ascii="Times New Roman" w:hAnsi="Times New Roman"/>
          <w:noProof/>
          <w:color w:val="000000"/>
          <w:sz w:val="24"/>
        </w:rPr>
        <w:footnoteReference w:id="27"/>
      </w:r>
      <w:r>
        <w:rPr>
          <w:noProof/>
        </w:rPr>
        <w:t>.</w:t>
      </w:r>
      <w:r>
        <w:rPr>
          <w:rFonts w:ascii="Times New Roman" w:hAnsi="Times New Roman"/>
          <w:noProof/>
          <w:color w:val="000000"/>
          <w:sz w:val="24"/>
        </w:rPr>
        <w:t xml:space="preserve"> Migrația este puternic </w:t>
      </w:r>
      <w:r>
        <w:rPr>
          <w:rFonts w:ascii="Times New Roman" w:hAnsi="Times New Roman"/>
          <w:noProof/>
          <w:color w:val="000000"/>
          <w:sz w:val="24"/>
        </w:rPr>
        <w:lastRenderedPageBreak/>
        <w:t>ancorată în relațiile global</w:t>
      </w:r>
      <w:r>
        <w:rPr>
          <w:rFonts w:ascii="Times New Roman" w:hAnsi="Times New Roman"/>
          <w:noProof/>
          <w:color w:val="000000"/>
          <w:sz w:val="24"/>
        </w:rPr>
        <w:t>e cu țările partenere. Pentru a aprofunda în continuare cooperarea cu țările partenere, este extrem de important să se adopte, la nivel bilateral, regional și multilateral, o abordare cuprinzătoare, integrată și bazată pe multilateralism.</w:t>
      </w:r>
    </w:p>
    <w:p w:rsidR="0021727D" w:rsidRDefault="0021727D">
      <w:pPr>
        <w:jc w:val="both"/>
        <w:rPr>
          <w:rFonts w:ascii="Times New Roman" w:hAnsi="Times New Roman"/>
          <w:noProof/>
          <w:color w:val="000000"/>
          <w:sz w:val="24"/>
          <w:szCs w:val="24"/>
        </w:rPr>
      </w:pPr>
    </w:p>
    <w:p w:rsidR="0021727D" w:rsidRDefault="00406850">
      <w:pPr>
        <w:keepNext/>
        <w:spacing w:after="120"/>
        <w:jc w:val="both"/>
        <w:rPr>
          <w:rFonts w:ascii="Times New Roman" w:hAnsi="Times New Roman"/>
          <w:i/>
          <w:noProof/>
          <w:color w:val="000000"/>
          <w:sz w:val="24"/>
          <w:szCs w:val="24"/>
        </w:rPr>
      </w:pPr>
      <w:r>
        <w:rPr>
          <w:rFonts w:ascii="Times New Roman" w:hAnsi="Times New Roman"/>
          <w:i/>
          <w:noProof/>
          <w:color w:val="000000"/>
          <w:sz w:val="24"/>
        </w:rPr>
        <w:t>Abordarea cauzel</w:t>
      </w:r>
      <w:r>
        <w:rPr>
          <w:rFonts w:ascii="Times New Roman" w:hAnsi="Times New Roman"/>
          <w:i/>
          <w:noProof/>
          <w:color w:val="000000"/>
          <w:sz w:val="24"/>
        </w:rPr>
        <w:t>or profunde ale migrației</w:t>
      </w:r>
    </w:p>
    <w:p w:rsidR="0021727D" w:rsidRDefault="00406850">
      <w:pPr>
        <w:jc w:val="both"/>
        <w:rPr>
          <w:rFonts w:ascii="Times New Roman" w:hAnsi="Times New Roman"/>
          <w:noProof/>
          <w:color w:val="000000"/>
          <w:sz w:val="24"/>
          <w:szCs w:val="24"/>
        </w:rPr>
      </w:pPr>
      <w:r>
        <w:rPr>
          <w:rFonts w:ascii="Times New Roman" w:hAnsi="Times New Roman"/>
          <w:noProof/>
          <w:color w:val="000000"/>
          <w:sz w:val="24"/>
        </w:rPr>
        <w:t>Fondul fiduciar al UE pentru Africa și-a demonstrat valoarea adăugată, fiind considerat un instrument rapid și eficace, care facilitează dialogul politic cu țările partenere, aplică abordări inovatoare și produce rezultate concret</w:t>
      </w:r>
      <w:r>
        <w:rPr>
          <w:rFonts w:ascii="Times New Roman" w:hAnsi="Times New Roman"/>
          <w:noProof/>
          <w:color w:val="000000"/>
          <w:sz w:val="24"/>
        </w:rPr>
        <w:t>e prin punerea în comun a fondurilor și a expertizei oferite de o gamă largă de părți interesate, în special de statele membre ale UE. Din 2016, an în care Fondul fiduciar și-a început activitatea, valoarea totală a resurselor a ajuns la peste</w:t>
      </w:r>
      <w:r>
        <w:rPr>
          <w:noProof/>
        </w:rPr>
        <w:t xml:space="preserve"> </w:t>
      </w:r>
      <w:r>
        <w:rPr>
          <w:rFonts w:ascii="Times New Roman" w:hAnsi="Times New Roman"/>
          <w:noProof/>
          <w:sz w:val="24"/>
        </w:rPr>
        <w:t>4,2 miliarde</w:t>
      </w:r>
      <w:r>
        <w:rPr>
          <w:rFonts w:ascii="Times New Roman" w:hAnsi="Times New Roman"/>
          <w:noProof/>
          <w:sz w:val="24"/>
        </w:rPr>
        <w:t xml:space="preserve"> EUR, până acum fiind aprobate peste </w:t>
      </w:r>
      <w:r>
        <w:rPr>
          <w:rFonts w:ascii="Times New Roman" w:hAnsi="Times New Roman"/>
          <w:noProof/>
          <w:color w:val="000000"/>
          <w:sz w:val="24"/>
        </w:rPr>
        <w:t>188 de programe</w:t>
      </w:r>
      <w:r>
        <w:rPr>
          <w:rStyle w:val="FootnoteReference"/>
          <w:rFonts w:ascii="Times New Roman" w:hAnsi="Times New Roman"/>
          <w:noProof/>
          <w:color w:val="000000"/>
          <w:sz w:val="24"/>
        </w:rPr>
        <w:footnoteReference w:id="28"/>
      </w:r>
      <w:r>
        <w:rPr>
          <w:noProof/>
        </w:rPr>
        <w:t>.</w:t>
      </w:r>
      <w:r>
        <w:rPr>
          <w:rFonts w:ascii="Times New Roman" w:hAnsi="Times New Roman"/>
          <w:noProof/>
          <w:color w:val="000000"/>
          <w:sz w:val="24"/>
        </w:rPr>
        <w:t xml:space="preserve"> Este important să se mențină această dinamică. Cu toate acestea, fără contribuții naționale suplimentare, Fondul fiduciar al UE nu va putea finanța noi inițiative sau suplimenta finanțarea programelor </w:t>
      </w:r>
      <w:r>
        <w:rPr>
          <w:rFonts w:ascii="Times New Roman" w:hAnsi="Times New Roman"/>
          <w:noProof/>
          <w:color w:val="000000"/>
          <w:sz w:val="24"/>
        </w:rPr>
        <w:t>extrem de valoroase care dau rezultate în prezent: atât pentru componenta „Africa de Nord”, cât și pentru componenta „Sahel și Lacul Ciad” va exista deja un deficit de finanțare pentru 2019. De asemenea, este extrem de important să se asigure faptul că fle</w:t>
      </w:r>
      <w:r>
        <w:rPr>
          <w:rFonts w:ascii="Times New Roman" w:hAnsi="Times New Roman"/>
          <w:noProof/>
          <w:color w:val="000000"/>
          <w:sz w:val="24"/>
        </w:rPr>
        <w:t xml:space="preserve">xibilitatea și capacitatea de reacție pe care fondul fiduciar le oferă în prezent rămân o caracteristică esențială în contextul următorului cadru financiar multianual și să se garanteze continuitatea acțiunilor. </w:t>
      </w:r>
    </w:p>
    <w:p w:rsidR="0021727D" w:rsidRDefault="0021727D">
      <w:pPr>
        <w:jc w:val="both"/>
        <w:rPr>
          <w:rFonts w:ascii="Times New Roman" w:hAnsi="Times New Roman"/>
          <w:noProof/>
          <w:color w:val="000000"/>
          <w:sz w:val="24"/>
          <w:szCs w:val="24"/>
        </w:rPr>
      </w:pPr>
    </w:p>
    <w:p w:rsidR="0021727D" w:rsidRDefault="00406850">
      <w:pPr>
        <w:jc w:val="both"/>
        <w:rPr>
          <w:rFonts w:ascii="Times New Roman" w:hAnsi="Times New Roman"/>
          <w:i/>
          <w:noProof/>
          <w:sz w:val="24"/>
          <w:szCs w:val="24"/>
        </w:rPr>
      </w:pPr>
      <w:r>
        <w:rPr>
          <w:rFonts w:ascii="Times New Roman" w:hAnsi="Times New Roman"/>
          <w:noProof/>
          <w:sz w:val="24"/>
        </w:rPr>
        <w:t>Sprijinul suplimentar pentru mijloacele de</w:t>
      </w:r>
      <w:r>
        <w:rPr>
          <w:rFonts w:ascii="Times New Roman" w:hAnsi="Times New Roman"/>
          <w:noProof/>
          <w:sz w:val="24"/>
        </w:rPr>
        <w:t xml:space="preserve"> subzistență și economiile din Africa Subsahariană și țările din vecinătatea UE va fi inclus în Planul de investiții externe. Suma de 1,54 miliarde EUR destinată unui număr de 28 de programe aprobată în prezent, ar trebui să deblocheze investiții în valoar</w:t>
      </w:r>
      <w:r>
        <w:rPr>
          <w:rFonts w:ascii="Times New Roman" w:hAnsi="Times New Roman"/>
          <w:noProof/>
          <w:sz w:val="24"/>
        </w:rPr>
        <w:t>e de 17,5 miliarde EUR, în domenii precum accesul la finanțare pentru microîntreprinderi și pentru întreprinderile mici și mijlocii, energia și conectivitatea, orașele, agricultura și domeniul digital (inclusiv e-sănătatea)</w:t>
      </w:r>
      <w:r>
        <w:rPr>
          <w:rStyle w:val="FootnoteReference"/>
          <w:rFonts w:ascii="Times New Roman" w:hAnsi="Times New Roman"/>
          <w:noProof/>
          <w:sz w:val="24"/>
        </w:rPr>
        <w:footnoteReference w:id="29"/>
      </w:r>
      <w:r>
        <w:rPr>
          <w:noProof/>
        </w:rPr>
        <w:t>.</w:t>
      </w:r>
      <w:r>
        <w:rPr>
          <w:rFonts w:ascii="Times New Roman" w:hAnsi="Times New Roman"/>
          <w:noProof/>
          <w:sz w:val="24"/>
        </w:rPr>
        <w:t xml:space="preserve"> Au fost aprobate 94 de proiecte cu finanțare mixtă, în valoare totală de 2,2 miliarde EUR, și se așteaptă ca acestea să deblocheze cofinanțări suplimentare în valoare de 19,5 miliarde EUR; valoarea totală preconizată a investițiilor este de aproximativ 37</w:t>
      </w:r>
      <w:r>
        <w:rPr>
          <w:rFonts w:ascii="Times New Roman" w:hAnsi="Times New Roman"/>
          <w:noProof/>
          <w:sz w:val="24"/>
        </w:rPr>
        <w:t xml:space="preserve"> de miliarde EUR, iar planul are toate șansele să atingă previziunile inițiale privind mobilizarea unei sume de 44 de miliarde EUR, ceea ce va constitui un impuls major pentru dinamismul economic. </w:t>
      </w:r>
    </w:p>
    <w:p w:rsidR="0021727D" w:rsidRDefault="0021727D">
      <w:pPr>
        <w:jc w:val="both"/>
        <w:rPr>
          <w:rFonts w:ascii="Times New Roman" w:hAnsi="Times New Roman"/>
          <w:noProof/>
          <w:color w:val="000000"/>
          <w:sz w:val="24"/>
          <w:szCs w:val="24"/>
        </w:rPr>
      </w:pPr>
    </w:p>
    <w:p w:rsidR="0021727D" w:rsidRDefault="00406850">
      <w:pPr>
        <w:keepNext/>
        <w:spacing w:after="120"/>
        <w:jc w:val="both"/>
        <w:rPr>
          <w:rFonts w:ascii="Times New Roman" w:hAnsi="Times New Roman"/>
          <w:i/>
          <w:noProof/>
          <w:color w:val="000000"/>
          <w:sz w:val="24"/>
          <w:szCs w:val="24"/>
        </w:rPr>
      </w:pPr>
      <w:r>
        <w:rPr>
          <w:rFonts w:ascii="Times New Roman" w:hAnsi="Times New Roman"/>
          <w:i/>
          <w:noProof/>
          <w:color w:val="000000"/>
          <w:sz w:val="24"/>
        </w:rPr>
        <w:t>Combaterea rețelelor de persoane care introduc ilegal mig</w:t>
      </w:r>
      <w:r>
        <w:rPr>
          <w:rFonts w:ascii="Times New Roman" w:hAnsi="Times New Roman"/>
          <w:i/>
          <w:noProof/>
          <w:color w:val="000000"/>
          <w:sz w:val="24"/>
        </w:rPr>
        <w:t>ranți</w:t>
      </w:r>
    </w:p>
    <w:p w:rsidR="0021727D" w:rsidRDefault="00406850">
      <w:pPr>
        <w:jc w:val="both"/>
        <w:rPr>
          <w:rFonts w:ascii="Times New Roman" w:hAnsi="Times New Roman"/>
          <w:noProof/>
          <w:sz w:val="24"/>
          <w:szCs w:val="24"/>
        </w:rPr>
      </w:pPr>
      <w:r>
        <w:rPr>
          <w:rFonts w:ascii="Times New Roman" w:hAnsi="Times New Roman"/>
          <w:noProof/>
          <w:sz w:val="24"/>
        </w:rPr>
        <w:t>Pentru a submina modelul de afaceri al persoanelor care introduc ilegal migranți și a destrăma rețelele infracționale sunt necesare acțiuni hotărâte și susținute, atât în interiorul, cât și în afara UE. Acest lucru a fost reiterat de Consiliul Europe</w:t>
      </w:r>
      <w:r>
        <w:rPr>
          <w:rFonts w:ascii="Times New Roman" w:hAnsi="Times New Roman"/>
          <w:noProof/>
          <w:sz w:val="24"/>
        </w:rPr>
        <w:t>an din octombrie 2018, ceea ce a dus la adoptarea, în decembrie 2018, a unei serii de măsuri operaționale</w:t>
      </w:r>
      <w:r>
        <w:rPr>
          <w:rStyle w:val="FootnoteReference"/>
          <w:rFonts w:ascii="Times New Roman" w:hAnsi="Times New Roman"/>
          <w:noProof/>
          <w:sz w:val="24"/>
        </w:rPr>
        <w:footnoteReference w:id="30"/>
      </w:r>
      <w:r>
        <w:rPr>
          <w:rFonts w:ascii="Times New Roman" w:hAnsi="Times New Roman"/>
          <w:noProof/>
          <w:sz w:val="24"/>
        </w:rPr>
        <w:t xml:space="preserve"> menite să contribuie la îmbunătățirea cooperării în domeniul aplicării legii și să completeze Planul de acțiune al UE împotriva introducerii ilegale </w:t>
      </w:r>
      <w:r>
        <w:rPr>
          <w:rFonts w:ascii="Times New Roman" w:hAnsi="Times New Roman"/>
          <w:noProof/>
          <w:sz w:val="24"/>
        </w:rPr>
        <w:t>de migranți</w:t>
      </w:r>
      <w:r>
        <w:rPr>
          <w:rStyle w:val="FootnoteReference"/>
          <w:rFonts w:ascii="Times New Roman" w:hAnsi="Times New Roman"/>
          <w:noProof/>
          <w:sz w:val="24"/>
        </w:rPr>
        <w:footnoteReference w:id="31"/>
      </w:r>
      <w:r>
        <w:rPr>
          <w:noProof/>
        </w:rPr>
        <w:t>.</w:t>
      </w:r>
      <w:r>
        <w:rPr>
          <w:rFonts w:ascii="Times New Roman" w:hAnsi="Times New Roman"/>
          <w:noProof/>
          <w:sz w:val="24"/>
        </w:rPr>
        <w:t xml:space="preserve"> </w:t>
      </w:r>
    </w:p>
    <w:p w:rsidR="0021727D" w:rsidRDefault="0021727D">
      <w:pPr>
        <w:jc w:val="both"/>
        <w:rPr>
          <w:rFonts w:ascii="Times New Roman" w:hAnsi="Times New Roman"/>
          <w:noProof/>
          <w:sz w:val="24"/>
          <w:szCs w:val="24"/>
        </w:rPr>
      </w:pPr>
    </w:p>
    <w:p w:rsidR="0021727D" w:rsidRDefault="00406850">
      <w:pPr>
        <w:jc w:val="both"/>
        <w:rPr>
          <w:rFonts w:ascii="Times New Roman" w:hAnsi="Times New Roman"/>
          <w:noProof/>
          <w:sz w:val="24"/>
        </w:rPr>
      </w:pPr>
      <w:r>
        <w:rPr>
          <w:rFonts w:ascii="Times New Roman" w:hAnsi="Times New Roman"/>
          <w:noProof/>
          <w:sz w:val="24"/>
        </w:rPr>
        <w:t xml:space="preserve">Combaterea rețelelor de persoane care introduc ilegal migranți constituie o parte esențială a acțiunilor întreprinse de UE cu țările terțe partenere. </w:t>
      </w:r>
      <w:r>
        <w:rPr>
          <w:rFonts w:ascii="Times New Roman" w:hAnsi="Times New Roman"/>
          <w:noProof/>
          <w:color w:val="000000"/>
          <w:sz w:val="24"/>
        </w:rPr>
        <w:t>În cadrul Fondului fiduciar va fi pus în aplicare un nou parteneriat operațional, condus d</w:t>
      </w:r>
      <w:r>
        <w:rPr>
          <w:rFonts w:ascii="Times New Roman" w:hAnsi="Times New Roman"/>
          <w:noProof/>
          <w:color w:val="000000"/>
          <w:sz w:val="24"/>
        </w:rPr>
        <w:t xml:space="preserve">e Franța și Senegal. În Niger, eforturile depuse de echipele comune de anchetă care reunesc reprezentanți ai autorităților din Niger, </w:t>
      </w:r>
      <w:r>
        <w:rPr>
          <w:rFonts w:ascii="Times New Roman" w:hAnsi="Times New Roman"/>
          <w:noProof/>
          <w:color w:val="000000"/>
          <w:sz w:val="24"/>
        </w:rPr>
        <w:lastRenderedPageBreak/>
        <w:t>Franța și Spania au condus la mai mult de 200 de urmăriri penale. Aceste activități trebuie extinse acum, acordându-se o a</w:t>
      </w:r>
      <w:r>
        <w:rPr>
          <w:rFonts w:ascii="Times New Roman" w:hAnsi="Times New Roman"/>
          <w:noProof/>
          <w:color w:val="000000"/>
          <w:sz w:val="24"/>
        </w:rPr>
        <w:t>tenție sporită frontierei sudice a Libiei și frontierelor dintre Niger-Algeria și Niger-Nigeria. În plus,</w:t>
      </w:r>
      <w:r>
        <w:rPr>
          <w:rFonts w:ascii="Times New Roman" w:hAnsi="Times New Roman"/>
          <w:noProof/>
          <w:sz w:val="24"/>
        </w:rPr>
        <w:t xml:space="preserve"> anul acesta, în Côte d’Ivoire, Niger, Tunisia, Mali, Guineea și Gambia au fost lansate șase campanii de informare și sensibilizare cu privire la riscu</w:t>
      </w:r>
      <w:r>
        <w:rPr>
          <w:rFonts w:ascii="Times New Roman" w:hAnsi="Times New Roman"/>
          <w:noProof/>
          <w:sz w:val="24"/>
        </w:rPr>
        <w:t>rile migrației neregulamentare</w:t>
      </w:r>
      <w:r>
        <w:rPr>
          <w:rStyle w:val="FootnoteReference"/>
          <w:rFonts w:ascii="Times New Roman" w:hAnsi="Times New Roman"/>
          <w:noProof/>
          <w:sz w:val="24"/>
        </w:rPr>
        <w:footnoteReference w:id="32"/>
      </w:r>
      <w:r>
        <w:rPr>
          <w:noProof/>
        </w:rPr>
        <w:t>.</w:t>
      </w:r>
    </w:p>
    <w:p w:rsidR="0021727D" w:rsidRDefault="0021727D">
      <w:pPr>
        <w:ind w:left="-51"/>
        <w:jc w:val="both"/>
        <w:rPr>
          <w:rFonts w:ascii="Times New Roman" w:hAnsi="Times New Roman"/>
          <w:noProof/>
          <w:color w:val="000000"/>
          <w:sz w:val="24"/>
          <w:szCs w:val="24"/>
        </w:rPr>
      </w:pPr>
    </w:p>
    <w:p w:rsidR="0021727D" w:rsidRDefault="00406850">
      <w:pPr>
        <w:ind w:left="-51"/>
        <w:jc w:val="both"/>
        <w:rPr>
          <w:rFonts w:ascii="Times New Roman" w:hAnsi="Times New Roman"/>
          <w:noProof/>
          <w:sz w:val="24"/>
          <w:szCs w:val="24"/>
        </w:rPr>
      </w:pPr>
      <w:r>
        <w:rPr>
          <w:rFonts w:ascii="Times New Roman" w:hAnsi="Times New Roman"/>
          <w:noProof/>
          <w:color w:val="000000"/>
          <w:sz w:val="24"/>
        </w:rPr>
        <w:t>Activitățile de combatere a rețelelor de persoane care introduc ilegal migranți sunt sprijinite de o infrastructură în dezvoltare. Biroul de centralizare a informațiilor îmbunătățește tabloul informațiilor deținute de Euro</w:t>
      </w:r>
      <w:r>
        <w:rPr>
          <w:rFonts w:ascii="Times New Roman" w:hAnsi="Times New Roman"/>
          <w:noProof/>
          <w:color w:val="000000"/>
          <w:sz w:val="24"/>
        </w:rPr>
        <w:t>pol și sprijinul acordat de acesta autorităților de asigurare a respectării legii. Proiectul-pilot referitor la o celulă specializată în materie de informații privind criminalitatea, care urmează să fie constituită în cadrul operației Sophia, favorizează s</w:t>
      </w:r>
      <w:r>
        <w:rPr>
          <w:rFonts w:ascii="Times New Roman" w:hAnsi="Times New Roman"/>
          <w:noProof/>
          <w:color w:val="000000"/>
          <w:sz w:val="24"/>
        </w:rPr>
        <w:t>chimbul de informații între actorii civili și cei militari. Operațiunile din Sahel, desfășurate în cadrul politicii de securitate și apărare comună, sunt corelate într-o măsură tot mai mare pentru a avea un impact regional. Ofițerii de legătură europeni în</w:t>
      </w:r>
      <w:r>
        <w:rPr>
          <w:rFonts w:ascii="Times New Roman" w:hAnsi="Times New Roman"/>
          <w:noProof/>
          <w:color w:val="000000"/>
          <w:sz w:val="24"/>
        </w:rPr>
        <w:t xml:space="preserve"> materie de migrație, detașați de Comisie în 12 țări partenere prioritare, acționează în calitate de canale-cheie de comunicare</w:t>
      </w:r>
      <w:r>
        <w:rPr>
          <w:rStyle w:val="FootnoteReference"/>
          <w:rFonts w:ascii="Times New Roman" w:hAnsi="Times New Roman"/>
          <w:noProof/>
          <w:color w:val="000000"/>
          <w:sz w:val="24"/>
        </w:rPr>
        <w:footnoteReference w:id="33"/>
      </w:r>
      <w:r>
        <w:rPr>
          <w:noProof/>
        </w:rPr>
        <w:t>.</w:t>
      </w:r>
      <w:r>
        <w:rPr>
          <w:rFonts w:ascii="Times New Roman" w:hAnsi="Times New Roman"/>
          <w:noProof/>
          <w:color w:val="000000"/>
          <w:sz w:val="24"/>
        </w:rPr>
        <w:t xml:space="preserve"> Având în vedere că Parlamentul European și Consiliul au ajuns la un acord politic cu privire la propunerea recentă a Comisiei</w:t>
      </w:r>
      <w:r>
        <w:rPr>
          <w:rStyle w:val="FootnoteReference"/>
          <w:rFonts w:ascii="Times New Roman" w:hAnsi="Times New Roman"/>
          <w:noProof/>
          <w:color w:val="000000"/>
          <w:sz w:val="24"/>
        </w:rPr>
        <w:footnoteReference w:id="34"/>
      </w:r>
      <w:r>
        <w:rPr>
          <w:rFonts w:ascii="Times New Roman" w:hAnsi="Times New Roman"/>
          <w:noProof/>
          <w:color w:val="000000"/>
          <w:sz w:val="24"/>
        </w:rPr>
        <w:t xml:space="preserve">, coordonarea între rețelele de ofițeri de legătură în materie de imigrație gestionate de statele membre, Comisie și agențiile UE va fi consolidată în continuare. </w:t>
      </w:r>
    </w:p>
    <w:p w:rsidR="0021727D" w:rsidRDefault="0021727D">
      <w:pPr>
        <w:ind w:left="-51"/>
        <w:jc w:val="both"/>
        <w:rPr>
          <w:rFonts w:ascii="Times New Roman" w:hAnsi="Times New Roman"/>
          <w:noProof/>
          <w:sz w:val="24"/>
          <w:szCs w:val="24"/>
        </w:rPr>
      </w:pPr>
    </w:p>
    <w:p w:rsidR="0021727D" w:rsidRDefault="00406850">
      <w:pPr>
        <w:ind w:left="-51"/>
        <w:jc w:val="both"/>
        <w:rPr>
          <w:rFonts w:ascii="Times New Roman" w:hAnsi="Times New Roman"/>
          <w:noProof/>
          <w:sz w:val="24"/>
          <w:szCs w:val="24"/>
        </w:rPr>
      </w:pPr>
      <w:r>
        <w:rPr>
          <w:rFonts w:ascii="Times New Roman" w:hAnsi="Times New Roman"/>
          <w:noProof/>
          <w:sz w:val="24"/>
        </w:rPr>
        <w:t xml:space="preserve">În interiorul UE, cooperarea operațională a statelor membre este sprijinită prin zilele de </w:t>
      </w:r>
      <w:r>
        <w:rPr>
          <w:rFonts w:ascii="Times New Roman" w:hAnsi="Times New Roman"/>
          <w:noProof/>
          <w:sz w:val="24"/>
        </w:rPr>
        <w:t>acțiune comună, în care sunt implicate state membre, țări terțe, agenții ale UE și parteneri externi</w:t>
      </w:r>
      <w:r>
        <w:rPr>
          <w:rStyle w:val="FootnoteReference"/>
          <w:rFonts w:ascii="Times New Roman" w:hAnsi="Times New Roman"/>
          <w:noProof/>
          <w:sz w:val="24"/>
        </w:rPr>
        <w:footnoteReference w:id="35"/>
      </w:r>
      <w:r>
        <w:rPr>
          <w:noProof/>
        </w:rPr>
        <w:t>.</w:t>
      </w:r>
      <w:r>
        <w:rPr>
          <w:rFonts w:ascii="Times New Roman" w:hAnsi="Times New Roman"/>
          <w:noProof/>
          <w:sz w:val="24"/>
        </w:rPr>
        <w:t xml:space="preserve"> În 2018, Centrul european privind introducerea ilegală de migranți din cadrul Europol a sprijinit organizarea a 39 de zile de acțiune comună care au cond</w:t>
      </w:r>
      <w:r>
        <w:rPr>
          <w:rFonts w:ascii="Times New Roman" w:hAnsi="Times New Roman"/>
          <w:noProof/>
          <w:sz w:val="24"/>
        </w:rPr>
        <w:t>us la 607 arestări, precum și la 101 cauze penale prioritare. Schimbul de informații este în continuare esențial: E</w:t>
      </w:r>
      <w:r>
        <w:rPr>
          <w:rFonts w:ascii="Times New Roman" w:hAnsi="Times New Roman"/>
          <w:noProof/>
          <w:color w:val="000000"/>
          <w:sz w:val="24"/>
        </w:rPr>
        <w:t>urostat testează în prezent o colectare de date statistice în materie de justiție penală în ceea ce privește introducerea ilegală de migranți</w:t>
      </w:r>
      <w:r>
        <w:rPr>
          <w:rFonts w:ascii="Times New Roman" w:hAnsi="Times New Roman"/>
          <w:noProof/>
          <w:color w:val="000000"/>
          <w:sz w:val="24"/>
        </w:rPr>
        <w:t>, ceea ce oferă avantaje majore pentru analizarea și reacția la tendințe.</w:t>
      </w:r>
    </w:p>
    <w:p w:rsidR="0021727D" w:rsidRDefault="0021727D">
      <w:pPr>
        <w:jc w:val="both"/>
        <w:rPr>
          <w:rFonts w:ascii="Times New Roman" w:hAnsi="Times New Roman"/>
          <w:noProof/>
          <w:color w:val="000000"/>
          <w:sz w:val="24"/>
          <w:szCs w:val="24"/>
        </w:rPr>
      </w:pPr>
    </w:p>
    <w:p w:rsidR="0021727D" w:rsidRDefault="00406850">
      <w:pPr>
        <w:keepNext/>
        <w:spacing w:after="120"/>
        <w:jc w:val="both"/>
        <w:rPr>
          <w:rFonts w:ascii="Times New Roman" w:hAnsi="Times New Roman"/>
          <w:i/>
          <w:noProof/>
          <w:color w:val="000000"/>
          <w:sz w:val="24"/>
          <w:szCs w:val="24"/>
        </w:rPr>
      </w:pPr>
      <w:r>
        <w:rPr>
          <w:rFonts w:ascii="Times New Roman" w:hAnsi="Times New Roman"/>
          <w:i/>
          <w:noProof/>
          <w:color w:val="000000"/>
          <w:sz w:val="24"/>
        </w:rPr>
        <w:t>Returnarea și readmisia</w:t>
      </w:r>
    </w:p>
    <w:p w:rsidR="0021727D" w:rsidRDefault="00406850">
      <w:pPr>
        <w:jc w:val="both"/>
        <w:rPr>
          <w:rFonts w:ascii="Times New Roman" w:hAnsi="Times New Roman"/>
          <w:noProof/>
          <w:color w:val="000000"/>
          <w:sz w:val="24"/>
          <w:szCs w:val="24"/>
        </w:rPr>
      </w:pPr>
      <w:r>
        <w:rPr>
          <w:rFonts w:ascii="Times New Roman" w:hAnsi="Times New Roman"/>
          <w:noProof/>
          <w:color w:val="000000"/>
          <w:sz w:val="24"/>
        </w:rPr>
        <w:t>Găsirea de soluții pentru a mări rata de returnare din UE, care este scăzută, trebuie să rămână un obiectiv prioritar. Aceasta este o verigă indispensabilă a</w:t>
      </w:r>
      <w:r>
        <w:rPr>
          <w:rFonts w:ascii="Times New Roman" w:hAnsi="Times New Roman"/>
          <w:noProof/>
          <w:color w:val="000000"/>
          <w:sz w:val="24"/>
        </w:rPr>
        <w:t xml:space="preserve"> lanțului de gestionare a migrației. Ratele scăzute de returnare subminează credibilitatea sistemului în rândul populației și încurajează tot mai mult migrația neregulamentară și deplasările secundare. Această situație necesită atât acțiuni la nivelul UE, </w:t>
      </w:r>
      <w:r>
        <w:rPr>
          <w:rFonts w:ascii="Times New Roman" w:hAnsi="Times New Roman"/>
          <w:noProof/>
          <w:color w:val="000000"/>
          <w:sz w:val="24"/>
        </w:rPr>
        <w:t>cât și acțiuni de colaborare cu țările terțe. Pentru a asigura returnarea rapidă și în condiții umane a persoanelor care nu au nevoie de protecție internațională, statele membre ar trebui să adopte măsuri imediate pentru a-și îmbunătăți procedurile interne</w:t>
      </w:r>
      <w:r>
        <w:rPr>
          <w:rFonts w:ascii="Times New Roman" w:hAnsi="Times New Roman"/>
          <w:noProof/>
          <w:color w:val="000000"/>
          <w:sz w:val="24"/>
        </w:rPr>
        <w:t>, pe baza planului de acțiune și a recomandărilor concrete formulate de Comisie în 2017</w:t>
      </w:r>
      <w:r>
        <w:rPr>
          <w:rStyle w:val="FootnoteReference"/>
          <w:rFonts w:ascii="Times New Roman" w:hAnsi="Times New Roman"/>
          <w:noProof/>
          <w:color w:val="000000"/>
          <w:sz w:val="24"/>
        </w:rPr>
        <w:footnoteReference w:id="36"/>
      </w:r>
      <w:r>
        <w:rPr>
          <w:noProof/>
        </w:rPr>
        <w:t>.</w:t>
      </w:r>
      <w:r>
        <w:rPr>
          <w:rFonts w:ascii="Times New Roman" w:hAnsi="Times New Roman"/>
          <w:noProof/>
          <w:color w:val="000000"/>
          <w:sz w:val="24"/>
        </w:rPr>
        <w:t xml:space="preserve"> Acestea prevăd soluții pentru o mai bună utilizare a instrumentelor juridice, operaționale și financiare de care dispune UE, prin adoptarea unor proceduri mai rapide </w:t>
      </w:r>
      <w:r>
        <w:rPr>
          <w:rFonts w:ascii="Times New Roman" w:hAnsi="Times New Roman"/>
          <w:noProof/>
          <w:color w:val="000000"/>
          <w:sz w:val="24"/>
        </w:rPr>
        <w:t xml:space="preserve">și a unor măsuri mai ferme împotriva sustragerii, printr-o abordare multidisciplinară din partea autorităților naționale și printr-o mai bună cooperare și coordonare între statele membre. </w:t>
      </w:r>
    </w:p>
    <w:p w:rsidR="0021727D" w:rsidRDefault="0021727D">
      <w:pPr>
        <w:jc w:val="both"/>
        <w:rPr>
          <w:rFonts w:ascii="Times New Roman" w:hAnsi="Times New Roman"/>
          <w:noProof/>
          <w:color w:val="000000"/>
          <w:sz w:val="24"/>
          <w:szCs w:val="24"/>
        </w:rPr>
      </w:pPr>
    </w:p>
    <w:p w:rsidR="0021727D" w:rsidRDefault="00406850">
      <w:pPr>
        <w:jc w:val="both"/>
        <w:rPr>
          <w:rFonts w:ascii="Times New Roman" w:hAnsi="Times New Roman"/>
          <w:noProof/>
          <w:color w:val="000000"/>
          <w:sz w:val="24"/>
          <w:szCs w:val="24"/>
        </w:rPr>
      </w:pPr>
      <w:r>
        <w:rPr>
          <w:rFonts w:ascii="Times New Roman" w:hAnsi="Times New Roman"/>
          <w:noProof/>
          <w:color w:val="000000"/>
          <w:sz w:val="24"/>
        </w:rPr>
        <w:t>Astfel de măsuri imediate adoptate de statele membre ar trebui sus</w:t>
      </w:r>
      <w:r>
        <w:rPr>
          <w:rFonts w:ascii="Times New Roman" w:hAnsi="Times New Roman"/>
          <w:noProof/>
          <w:color w:val="000000"/>
          <w:sz w:val="24"/>
        </w:rPr>
        <w:t>ținute prin măsuri suplimentare adoptate la nivelul UE. Datorită modificărilor aduse recent Sistemului de informații Schengen, va crește semnificativ capacitatea statelor membre de a executa deciziile de returnare și interdicțiile de intrare</w:t>
      </w:r>
      <w:r>
        <w:rPr>
          <w:rStyle w:val="FootnoteReference"/>
          <w:rFonts w:ascii="Times New Roman" w:hAnsi="Times New Roman"/>
          <w:noProof/>
          <w:color w:val="000000"/>
          <w:sz w:val="24"/>
        </w:rPr>
        <w:footnoteReference w:id="37"/>
      </w:r>
      <w:r>
        <w:rPr>
          <w:noProof/>
        </w:rPr>
        <w:t>.</w:t>
      </w:r>
      <w:r>
        <w:rPr>
          <w:rFonts w:ascii="Times New Roman" w:hAnsi="Times New Roman"/>
          <w:noProof/>
          <w:color w:val="000000"/>
          <w:sz w:val="24"/>
        </w:rPr>
        <w:t xml:space="preserve"> S-a înregistrat, de asemenea, o creștere semnificativă a sprijinului oferit de Agenția Europeană pentru Poliția de Frontieră și Garda de Coastă în materie de returnare, atât în ceea ce privește cooperarea, cât și acțiunile operaționale legate de zborurile</w:t>
      </w:r>
      <w:r>
        <w:rPr>
          <w:rFonts w:ascii="Times New Roman" w:hAnsi="Times New Roman"/>
          <w:noProof/>
          <w:color w:val="000000"/>
          <w:sz w:val="24"/>
        </w:rPr>
        <w:t xml:space="preserve"> de returnare și rolul consulatelor</w:t>
      </w:r>
      <w:r>
        <w:rPr>
          <w:rStyle w:val="FootnoteReference"/>
          <w:rFonts w:ascii="Times New Roman" w:hAnsi="Times New Roman"/>
          <w:noProof/>
          <w:color w:val="000000"/>
          <w:sz w:val="24"/>
        </w:rPr>
        <w:footnoteReference w:id="38"/>
      </w:r>
      <w:r>
        <w:rPr>
          <w:noProof/>
        </w:rPr>
        <w:t>.</w:t>
      </w:r>
      <w:r>
        <w:rPr>
          <w:rFonts w:ascii="Times New Roman" w:hAnsi="Times New Roman"/>
          <w:noProof/>
          <w:color w:val="000000"/>
          <w:sz w:val="24"/>
        </w:rPr>
        <w:t xml:space="preserve"> Trebuie însă să depunem mai multe eforturi. Următoarea etapă ar trebui să fie propunerea Comisiei de reformare a Directivei privind returnarea</w:t>
      </w:r>
      <w:r>
        <w:rPr>
          <w:rStyle w:val="FootnoteReference"/>
          <w:rFonts w:ascii="Times New Roman" w:hAnsi="Times New Roman"/>
          <w:noProof/>
          <w:color w:val="000000"/>
          <w:sz w:val="24"/>
        </w:rPr>
        <w:footnoteReference w:id="39"/>
      </w:r>
      <w:r>
        <w:rPr>
          <w:noProof/>
        </w:rPr>
        <w:t>:</w:t>
      </w:r>
      <w:r>
        <w:rPr>
          <w:rFonts w:ascii="Times New Roman" w:hAnsi="Times New Roman"/>
          <w:noProof/>
          <w:color w:val="000000"/>
          <w:sz w:val="24"/>
        </w:rPr>
        <w:t xml:space="preserve"> adoptarea rapidă a acestei propuneri va contribui la creșterea considerab</w:t>
      </w:r>
      <w:r>
        <w:rPr>
          <w:rFonts w:ascii="Times New Roman" w:hAnsi="Times New Roman"/>
          <w:noProof/>
          <w:color w:val="000000"/>
          <w:sz w:val="24"/>
        </w:rPr>
        <w:t xml:space="preserve">ilă a coerenței și a eficacității procedurilor de returnare și va asigura, în același timp, protecția drepturilor fundamentale și respectarea principiului </w:t>
      </w:r>
      <w:r>
        <w:rPr>
          <w:rFonts w:ascii="Times New Roman" w:hAnsi="Times New Roman"/>
          <w:i/>
          <w:noProof/>
          <w:color w:val="000000"/>
          <w:sz w:val="24"/>
        </w:rPr>
        <w:t>nereturnării</w:t>
      </w:r>
      <w:r>
        <w:rPr>
          <w:rStyle w:val="FootnoteReference"/>
          <w:rFonts w:ascii="Times New Roman" w:hAnsi="Times New Roman"/>
          <w:noProof/>
          <w:color w:val="000000"/>
          <w:sz w:val="24"/>
        </w:rPr>
        <w:footnoteReference w:id="40"/>
      </w:r>
      <w:r>
        <w:rPr>
          <w:noProof/>
        </w:rPr>
        <w:t>.</w:t>
      </w:r>
      <w:r>
        <w:rPr>
          <w:rFonts w:ascii="Times New Roman" w:hAnsi="Times New Roman"/>
          <w:noProof/>
          <w:color w:val="000000"/>
          <w:sz w:val="24"/>
        </w:rPr>
        <w:t xml:space="preserve"> </w:t>
      </w:r>
    </w:p>
    <w:p w:rsidR="0021727D" w:rsidRDefault="0021727D">
      <w:pPr>
        <w:jc w:val="both"/>
        <w:rPr>
          <w:rFonts w:ascii="Times New Roman" w:hAnsi="Times New Roman"/>
          <w:noProof/>
          <w:color w:val="000000"/>
          <w:sz w:val="24"/>
          <w:szCs w:val="24"/>
        </w:rPr>
      </w:pPr>
    </w:p>
    <w:p w:rsidR="0021727D" w:rsidRDefault="00406850">
      <w:pPr>
        <w:jc w:val="both"/>
        <w:rPr>
          <w:rFonts w:ascii="Times New Roman" w:hAnsi="Times New Roman"/>
          <w:noProof/>
          <w:color w:val="000000"/>
          <w:sz w:val="24"/>
          <w:szCs w:val="24"/>
        </w:rPr>
      </w:pPr>
      <w:r>
        <w:rPr>
          <w:rFonts w:ascii="Times New Roman" w:hAnsi="Times New Roman"/>
          <w:noProof/>
          <w:color w:val="000000"/>
          <w:sz w:val="24"/>
        </w:rPr>
        <w:t>În cadrul dialogului pe care l-am avut cu țările partenere în ultimii patru ani, s-a</w:t>
      </w:r>
      <w:r>
        <w:rPr>
          <w:rFonts w:ascii="Times New Roman" w:hAnsi="Times New Roman"/>
          <w:noProof/>
          <w:color w:val="000000"/>
          <w:sz w:val="24"/>
        </w:rPr>
        <w:t xml:space="preserve">u înregistrat progrese tangibile. Cooperarea pe baza celor 17 acorduri de readmisie existente și a celor șase măsuri practice adoptate de curând începe să dea rezultate, în domenii precum identificarea, furnizarea de documente și returnarea organizată, la </w:t>
      </w:r>
      <w:r>
        <w:rPr>
          <w:rFonts w:ascii="Times New Roman" w:hAnsi="Times New Roman"/>
          <w:noProof/>
          <w:color w:val="000000"/>
          <w:sz w:val="24"/>
        </w:rPr>
        <w:t>aceste rezultate contribuind și sprijinul operațional. Însă, pentru ca acest cadru să își realizeze pe deplin potențialul și pentru a putea face față unei eventuale creșteri a nevoilor în materie de returnare în viitor, statele membre trebuie să valorifice</w:t>
      </w:r>
      <w:r>
        <w:rPr>
          <w:rFonts w:ascii="Times New Roman" w:hAnsi="Times New Roman"/>
          <w:noProof/>
          <w:color w:val="000000"/>
          <w:sz w:val="24"/>
        </w:rPr>
        <w:t xml:space="preserve"> oportunitățile pe care le oferă acest cadru, să participe activ la gestionarea acordurilor și a mecanismelor existente și să semnaleze Comisiei eventualele probleme legate de punerea în aplicare a acestora. UE și statele sale membre contribuie, de asemene</w:t>
      </w:r>
      <w:r>
        <w:rPr>
          <w:rFonts w:ascii="Times New Roman" w:hAnsi="Times New Roman"/>
          <w:noProof/>
          <w:color w:val="000000"/>
          <w:sz w:val="24"/>
        </w:rPr>
        <w:t xml:space="preserve">a, la acest proces, acordând sprijin pentru reintegrarea persoanelor returnate: din mai 2017, peste 60 100 de migranți au beneficiat de asistență pentru reintegrare. </w:t>
      </w:r>
    </w:p>
    <w:p w:rsidR="0021727D" w:rsidRDefault="0021727D">
      <w:pPr>
        <w:jc w:val="both"/>
        <w:rPr>
          <w:rFonts w:ascii="Times New Roman" w:hAnsi="Times New Roman"/>
          <w:noProof/>
          <w:color w:val="000000"/>
          <w:sz w:val="24"/>
          <w:szCs w:val="24"/>
        </w:rPr>
      </w:pPr>
    </w:p>
    <w:p w:rsidR="0021727D" w:rsidRDefault="00406850">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Comisia va face eforturi pentru încheierea unor acorduri cu noi parteneri. În prezent au</w:t>
      </w:r>
      <w:r>
        <w:rPr>
          <w:rFonts w:ascii="Times New Roman" w:hAnsi="Times New Roman"/>
          <w:noProof/>
          <w:color w:val="000000"/>
          <w:sz w:val="24"/>
        </w:rPr>
        <w:t xml:space="preserve"> loc negocieri privind readmisia cu Nigeria, Tunisia și China, iar în curând vor fi reluate negocierile cu Marocul. Atunci când este necesar, ar trebui mobilizată o gamă mai largă de acțiuni cu efect de levier din toate domeniile politice relevante, în str</w:t>
      </w:r>
      <w:r>
        <w:rPr>
          <w:rFonts w:ascii="Times New Roman" w:hAnsi="Times New Roman"/>
          <w:noProof/>
          <w:color w:val="000000"/>
          <w:sz w:val="24"/>
        </w:rPr>
        <w:t>ânsă coordonare cu acțiunile de acest tip întreprinse la nivelul statelor membre. Politica UE în domeniul vizelor a contribuit deja la facilitarea negocierilor privind readmisia, iar mecanismul de suspendare în materie de vize a favorizat monitorizarea ate</w:t>
      </w:r>
      <w:r>
        <w:rPr>
          <w:rFonts w:ascii="Times New Roman" w:hAnsi="Times New Roman"/>
          <w:noProof/>
          <w:color w:val="000000"/>
          <w:sz w:val="24"/>
        </w:rPr>
        <w:t>ntă a obligațiilor de readmisie. Comisia salută acordul la care au ajuns Parlamentul European și Consiliul privind modificarea Codului de vize, care include posibilitatea de a adopta, în cazul țărilor terțe necooperante în materie de readmisie, măsuri rest</w:t>
      </w:r>
      <w:r>
        <w:rPr>
          <w:rFonts w:ascii="Times New Roman" w:hAnsi="Times New Roman"/>
          <w:noProof/>
          <w:color w:val="000000"/>
          <w:sz w:val="24"/>
        </w:rPr>
        <w:t>rictive în materie de vize. Pentru intensificarea readmisiei, este esențială adoptarea de noi măsuri care să utilizeze efectul de levier.</w:t>
      </w:r>
    </w:p>
    <w:p w:rsidR="0021727D" w:rsidRDefault="0021727D">
      <w:pPr>
        <w:jc w:val="both"/>
        <w:rPr>
          <w:rFonts w:ascii="Times New Roman" w:hAnsi="Times New Roman"/>
          <w:noProof/>
          <w:color w:val="000000"/>
          <w:sz w:val="24"/>
        </w:rPr>
      </w:pPr>
    </w:p>
    <w:tbl>
      <w:tblPr>
        <w:tblStyle w:val="TableGrid"/>
        <w:tblW w:w="0" w:type="auto"/>
        <w:tblLook w:val="04A0" w:firstRow="1" w:lastRow="0" w:firstColumn="1" w:lastColumn="0" w:noHBand="0" w:noVBand="1"/>
      </w:tblPr>
      <w:tblGrid>
        <w:gridCol w:w="9286"/>
      </w:tblGrid>
      <w:tr w:rsidR="0021727D">
        <w:tc>
          <w:tcPr>
            <w:tcW w:w="9286" w:type="dxa"/>
            <w:shd w:val="clear" w:color="auto" w:fill="1F497D" w:themeFill="text2"/>
          </w:tcPr>
          <w:p w:rsidR="0021727D" w:rsidRDefault="00406850">
            <w:pPr>
              <w:pageBreakBefore/>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Următoarele etape importante</w:t>
            </w:r>
          </w:p>
        </w:tc>
      </w:tr>
      <w:tr w:rsidR="0021727D">
        <w:tc>
          <w:tcPr>
            <w:tcW w:w="9286" w:type="dxa"/>
            <w:shd w:val="clear" w:color="auto" w:fill="C6D9F1" w:themeFill="text2" w:themeFillTint="33"/>
          </w:tcPr>
          <w:p w:rsidR="0021727D" w:rsidRDefault="00406850">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Instituțiile UE trebuie să garanteze că </w:t>
            </w:r>
            <w:r>
              <w:rPr>
                <w:rFonts w:ascii="Times New Roman" w:eastAsiaTheme="minorHAnsi" w:hAnsi="Times New Roman"/>
                <w:b/>
                <w:i/>
                <w:noProof/>
                <w:color w:val="000000"/>
                <w:sz w:val="24"/>
              </w:rPr>
              <w:t>următorul cadru financiar multianual</w:t>
            </w:r>
            <w:r>
              <w:rPr>
                <w:rFonts w:ascii="Times New Roman" w:eastAsiaTheme="minorHAnsi" w:hAnsi="Times New Roman"/>
                <w:noProof/>
                <w:color w:val="000000"/>
                <w:sz w:val="24"/>
              </w:rPr>
              <w:t xml:space="preserve"> oferă scara și gradul de flexibilitate necesare pentru aprofundarea cooperării în materie de migrație cu țările terțe partenere.</w:t>
            </w:r>
          </w:p>
          <w:p w:rsidR="0021727D" w:rsidRDefault="00406850">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Statele membre și UE ar trebui să monitorizeze măsurile adoptate în decembrie 2018 pentru </w:t>
            </w:r>
            <w:r>
              <w:rPr>
                <w:rFonts w:ascii="Times New Roman" w:eastAsiaTheme="minorHAnsi" w:hAnsi="Times New Roman"/>
                <w:b/>
                <w:i/>
                <w:noProof/>
                <w:color w:val="000000"/>
                <w:sz w:val="24"/>
              </w:rPr>
              <w:t xml:space="preserve">a combate rețelele de persoane care </w:t>
            </w:r>
            <w:r>
              <w:rPr>
                <w:rFonts w:ascii="Times New Roman" w:eastAsiaTheme="minorHAnsi" w:hAnsi="Times New Roman"/>
                <w:b/>
                <w:i/>
                <w:noProof/>
                <w:color w:val="000000"/>
                <w:sz w:val="24"/>
              </w:rPr>
              <w:t>introduc ilegal migranți</w:t>
            </w:r>
            <w:r>
              <w:rPr>
                <w:rFonts w:ascii="Times New Roman" w:eastAsiaTheme="minorHAnsi" w:hAnsi="Times New Roman"/>
                <w:noProof/>
                <w:color w:val="000000"/>
                <w:sz w:val="24"/>
              </w:rPr>
              <w:t>, inclusiv prin intensificarea activității Centrului european privind introducerea ilegală de migranți din cadrul Europol.</w:t>
            </w:r>
          </w:p>
          <w:p w:rsidR="0021727D" w:rsidRDefault="00406850">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Parlamentul European și Consiliul ar trebui să finalizeze negocierile cu privire la </w:t>
            </w:r>
            <w:r>
              <w:rPr>
                <w:rFonts w:ascii="Times New Roman" w:eastAsiaTheme="minorHAnsi" w:hAnsi="Times New Roman"/>
                <w:b/>
                <w:i/>
                <w:noProof/>
                <w:color w:val="000000"/>
                <w:sz w:val="24"/>
              </w:rPr>
              <w:t>propunerea Comisiei privi</w:t>
            </w:r>
            <w:r>
              <w:rPr>
                <w:rFonts w:ascii="Times New Roman" w:eastAsiaTheme="minorHAnsi" w:hAnsi="Times New Roman"/>
                <w:b/>
                <w:i/>
                <w:noProof/>
                <w:color w:val="000000"/>
                <w:sz w:val="24"/>
              </w:rPr>
              <w:t>nd consolidarea returnării</w:t>
            </w:r>
            <w:r>
              <w:rPr>
                <w:rFonts w:ascii="Times New Roman" w:eastAsiaTheme="minorHAnsi" w:hAnsi="Times New Roman"/>
                <w:noProof/>
                <w:color w:val="000000"/>
                <w:sz w:val="24"/>
              </w:rPr>
              <w:t>. Statele membre ar trebui deja să valorifice la maximum potențialul de îmbunătățire a eficacității măsurilor de returnare în cadrul existent.</w:t>
            </w:r>
          </w:p>
          <w:p w:rsidR="0021727D" w:rsidRDefault="00406850">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Statele membre ar trebui să asigure utilizarea deplină a </w:t>
            </w:r>
            <w:r>
              <w:rPr>
                <w:rFonts w:ascii="Times New Roman" w:eastAsiaTheme="minorHAnsi" w:hAnsi="Times New Roman"/>
                <w:b/>
                <w:i/>
                <w:noProof/>
                <w:color w:val="000000"/>
                <w:sz w:val="24"/>
              </w:rPr>
              <w:t xml:space="preserve">acordurilor și a mecanismelor </w:t>
            </w:r>
            <w:r>
              <w:rPr>
                <w:rFonts w:ascii="Times New Roman" w:eastAsiaTheme="minorHAnsi" w:hAnsi="Times New Roman"/>
                <w:b/>
                <w:i/>
                <w:noProof/>
                <w:color w:val="000000"/>
                <w:sz w:val="24"/>
              </w:rPr>
              <w:t>de readmisie</w:t>
            </w:r>
            <w:r>
              <w:rPr>
                <w:rFonts w:ascii="Times New Roman" w:eastAsiaTheme="minorHAnsi" w:hAnsi="Times New Roman"/>
                <w:noProof/>
                <w:color w:val="000000"/>
                <w:sz w:val="24"/>
              </w:rPr>
              <w:t xml:space="preserve">, iar UE ar trebui să elaboreze </w:t>
            </w:r>
            <w:r>
              <w:rPr>
                <w:rFonts w:ascii="Times New Roman" w:eastAsiaTheme="minorHAnsi" w:hAnsi="Times New Roman"/>
                <w:b/>
                <w:i/>
                <w:noProof/>
                <w:color w:val="000000"/>
                <w:sz w:val="24"/>
              </w:rPr>
              <w:t>noi acorduri și mecanisme de readmisie</w:t>
            </w:r>
            <w:r>
              <w:rPr>
                <w:rFonts w:ascii="Times New Roman" w:eastAsiaTheme="minorHAnsi" w:hAnsi="Times New Roman"/>
                <w:noProof/>
                <w:color w:val="000000"/>
                <w:sz w:val="24"/>
              </w:rPr>
              <w:t xml:space="preserve"> cu alte țări terțe. </w:t>
            </w:r>
          </w:p>
          <w:p w:rsidR="0021727D" w:rsidRDefault="00406850">
            <w:pPr>
              <w:pStyle w:val="ListParagraph"/>
              <w:numPr>
                <w:ilvl w:val="0"/>
                <w:numId w:val="68"/>
              </w:numPr>
              <w:ind w:left="360"/>
              <w:jc w:val="both"/>
              <w:rPr>
                <w:rFonts w:ascii="Times New Roman" w:hAnsi="Times New Roman"/>
                <w:noProof/>
                <w:sz w:val="24"/>
                <w:szCs w:val="24"/>
              </w:rPr>
            </w:pPr>
            <w:r>
              <w:rPr>
                <w:rFonts w:ascii="Times New Roman" w:eastAsiaTheme="minorHAnsi" w:hAnsi="Times New Roman"/>
                <w:noProof/>
                <w:color w:val="000000"/>
                <w:sz w:val="24"/>
              </w:rPr>
              <w:t xml:space="preserve">Statele membre și UE ar trebui să extindă </w:t>
            </w:r>
            <w:r>
              <w:rPr>
                <w:rFonts w:ascii="Times New Roman" w:eastAsiaTheme="minorHAnsi" w:hAnsi="Times New Roman"/>
                <w:b/>
                <w:i/>
                <w:noProof/>
                <w:color w:val="000000"/>
                <w:sz w:val="24"/>
              </w:rPr>
              <w:t>parteneriatele operaționale comune</w:t>
            </w:r>
            <w:r>
              <w:rPr>
                <w:rFonts w:ascii="Times New Roman" w:eastAsiaTheme="minorHAnsi" w:hAnsi="Times New Roman"/>
                <w:noProof/>
                <w:color w:val="000000"/>
                <w:sz w:val="24"/>
              </w:rPr>
              <w:t xml:space="preserve"> cu țările terțe pentru a sprijini activități precum echipele comune de anch</w:t>
            </w:r>
            <w:r>
              <w:rPr>
                <w:rFonts w:ascii="Times New Roman" w:eastAsiaTheme="minorHAnsi" w:hAnsi="Times New Roman"/>
                <w:noProof/>
                <w:color w:val="000000"/>
                <w:sz w:val="24"/>
              </w:rPr>
              <w:t>etă, consolidarea capacităților și schimbul de ofițeri de legătură.</w:t>
            </w:r>
          </w:p>
        </w:tc>
      </w:tr>
    </w:tbl>
    <w:p w:rsidR="0021727D" w:rsidRDefault="0021727D">
      <w:pPr>
        <w:jc w:val="both"/>
        <w:rPr>
          <w:rFonts w:ascii="Times New Roman" w:hAnsi="Times New Roman"/>
          <w:noProof/>
          <w:color w:val="000000"/>
          <w:sz w:val="24"/>
          <w:szCs w:val="24"/>
        </w:rPr>
      </w:pPr>
    </w:p>
    <w:p w:rsidR="0021727D" w:rsidRDefault="0021727D">
      <w:pPr>
        <w:jc w:val="both"/>
        <w:rPr>
          <w:rFonts w:ascii="Times New Roman" w:hAnsi="Times New Roman"/>
          <w:noProof/>
          <w:color w:val="000000"/>
          <w:sz w:val="24"/>
          <w:szCs w:val="24"/>
        </w:rPr>
      </w:pPr>
    </w:p>
    <w:p w:rsidR="0021727D" w:rsidRDefault="00406850">
      <w:pPr>
        <w:pStyle w:val="ListParagraph"/>
        <w:numPr>
          <w:ilvl w:val="0"/>
          <w:numId w:val="3"/>
        </w:numPr>
        <w:jc w:val="both"/>
        <w:rPr>
          <w:rFonts w:ascii="Times New Roman" w:hAnsi="Times New Roman"/>
          <w:b/>
          <w:i/>
          <w:noProof/>
          <w:sz w:val="24"/>
          <w:szCs w:val="24"/>
        </w:rPr>
      </w:pPr>
      <w:r>
        <w:rPr>
          <w:rFonts w:ascii="Times New Roman" w:hAnsi="Times New Roman"/>
          <w:b/>
          <w:i/>
          <w:noProof/>
          <w:sz w:val="24"/>
        </w:rPr>
        <w:t>Gestionarea frontierelor – salvarea de vieți omenești și securizarea frontierelor externe</w:t>
      </w:r>
    </w:p>
    <w:p w:rsidR="0021727D" w:rsidRDefault="0021727D">
      <w:pPr>
        <w:jc w:val="both"/>
        <w:rPr>
          <w:rFonts w:ascii="Times New Roman" w:hAnsi="Times New Roman"/>
          <w:b/>
          <w:i/>
          <w:noProof/>
          <w:color w:val="000000"/>
          <w:sz w:val="24"/>
          <w:szCs w:val="24"/>
        </w:rPr>
      </w:pPr>
    </w:p>
    <w:p w:rsidR="0021727D" w:rsidRDefault="00406850">
      <w:pPr>
        <w:keepNext/>
        <w:spacing w:after="120"/>
        <w:jc w:val="both"/>
        <w:rPr>
          <w:rFonts w:ascii="Times New Roman" w:hAnsi="Times New Roman"/>
          <w:i/>
          <w:noProof/>
          <w:color w:val="000000"/>
          <w:sz w:val="24"/>
          <w:szCs w:val="24"/>
        </w:rPr>
      </w:pPr>
      <w:r>
        <w:rPr>
          <w:rFonts w:ascii="Times New Roman" w:hAnsi="Times New Roman"/>
          <w:i/>
          <w:noProof/>
          <w:color w:val="000000"/>
          <w:sz w:val="24"/>
        </w:rPr>
        <w:t>Operațiunile la frontiere</w:t>
      </w:r>
    </w:p>
    <w:p w:rsidR="0021727D" w:rsidRDefault="00406850">
      <w:pPr>
        <w:jc w:val="both"/>
        <w:rPr>
          <w:rFonts w:ascii="Times New Roman" w:hAnsi="Times New Roman"/>
          <w:i/>
          <w:noProof/>
          <w:color w:val="000000"/>
          <w:sz w:val="24"/>
          <w:szCs w:val="24"/>
        </w:rPr>
      </w:pPr>
      <w:r>
        <w:rPr>
          <w:rFonts w:ascii="Times New Roman" w:hAnsi="Times New Roman"/>
          <w:noProof/>
          <w:color w:val="000000"/>
          <w:sz w:val="24"/>
        </w:rPr>
        <w:t xml:space="preserve">Salvarea persoanelor aflate în dificultate pe mare este unul dintre obiectivele principale ale acțiunii UE în ceea ce privește gestionarea frontierelor externe ale UE. Agenția </w:t>
      </w:r>
      <w:r>
        <w:rPr>
          <w:rFonts w:ascii="Times New Roman" w:hAnsi="Times New Roman"/>
          <w:noProof/>
          <w:sz w:val="24"/>
        </w:rPr>
        <w:t xml:space="preserve">Europeană pentru </w:t>
      </w:r>
      <w:r>
        <w:rPr>
          <w:rFonts w:ascii="Times New Roman" w:hAnsi="Times New Roman"/>
          <w:noProof/>
          <w:color w:val="000000"/>
          <w:sz w:val="24"/>
        </w:rPr>
        <w:t xml:space="preserve">Poliția de Frontieră și Garda de Coastă coordonează operațiuni </w:t>
      </w:r>
      <w:r>
        <w:rPr>
          <w:rFonts w:ascii="Times New Roman" w:hAnsi="Times New Roman"/>
          <w:noProof/>
          <w:color w:val="000000"/>
          <w:sz w:val="24"/>
        </w:rPr>
        <w:t>maritime comune menite să asigure un control eficace al frontierelor externe ale UE pe mare. Toate activele utilizate în cadrul acestor operațiuni se află sub incidența dreptului internațional; cu ajutorul acestor active se acordă asistență oricărei nave a</w:t>
      </w:r>
      <w:r>
        <w:rPr>
          <w:rFonts w:ascii="Times New Roman" w:hAnsi="Times New Roman"/>
          <w:noProof/>
          <w:color w:val="000000"/>
          <w:sz w:val="24"/>
        </w:rPr>
        <w:t>flate în pericol pe mare. Operațiunile comune Themis, Poseidon și Indalo, precum și operația navală Sophia care face parte din politica europeană de securitate și apărare comună a UE au o contribuție importantă la controlul frontierelor, precum și la opera</w:t>
      </w:r>
      <w:r>
        <w:rPr>
          <w:rFonts w:ascii="Times New Roman" w:hAnsi="Times New Roman"/>
          <w:noProof/>
          <w:color w:val="000000"/>
          <w:sz w:val="24"/>
        </w:rPr>
        <w:t>țiunile de căutare și salvare. Numai în 2018, cu ajutorul mijloacelor utilizate în cadrul operațiunilor maritime ale UE au fost salvate aproape 39 300 de persoane</w:t>
      </w:r>
      <w:r>
        <w:rPr>
          <w:rStyle w:val="FootnoteReference"/>
          <w:rFonts w:ascii="Times New Roman" w:hAnsi="Times New Roman"/>
          <w:noProof/>
          <w:color w:val="000000"/>
          <w:sz w:val="24"/>
        </w:rPr>
        <w:footnoteReference w:id="41"/>
      </w:r>
      <w:r>
        <w:rPr>
          <w:noProof/>
        </w:rPr>
        <w:t>.</w:t>
      </w:r>
      <w:r>
        <w:rPr>
          <w:rFonts w:ascii="Times New Roman" w:hAnsi="Times New Roman"/>
          <w:noProof/>
          <w:color w:val="000000"/>
          <w:sz w:val="24"/>
        </w:rPr>
        <w:t xml:space="preserve"> </w:t>
      </w:r>
    </w:p>
    <w:p w:rsidR="0021727D" w:rsidRDefault="0021727D">
      <w:pPr>
        <w:jc w:val="both"/>
        <w:rPr>
          <w:rFonts w:ascii="Times New Roman" w:hAnsi="Times New Roman"/>
          <w:i/>
          <w:noProof/>
          <w:color w:val="000000"/>
          <w:sz w:val="24"/>
          <w:szCs w:val="24"/>
        </w:rPr>
      </w:pPr>
    </w:p>
    <w:p w:rsidR="0021727D" w:rsidRDefault="00406850">
      <w:pPr>
        <w:jc w:val="both"/>
        <w:rPr>
          <w:rFonts w:ascii="Times New Roman" w:hAnsi="Times New Roman"/>
          <w:noProof/>
          <w:sz w:val="24"/>
          <w:szCs w:val="24"/>
        </w:rPr>
      </w:pPr>
      <w:r>
        <w:rPr>
          <w:rFonts w:ascii="Times New Roman" w:hAnsi="Times New Roman"/>
          <w:noProof/>
          <w:sz w:val="24"/>
        </w:rPr>
        <w:t>De asemenea, Agenția Europeană pentru Poliția de Frontieră și Garda de Coastă organizează</w:t>
      </w:r>
      <w:r>
        <w:rPr>
          <w:rFonts w:ascii="Times New Roman" w:hAnsi="Times New Roman"/>
          <w:noProof/>
          <w:sz w:val="24"/>
        </w:rPr>
        <w:t xml:space="preserve"> activități </w:t>
      </w:r>
      <w:r>
        <w:rPr>
          <w:rFonts w:ascii="Times New Roman" w:hAnsi="Times New Roman"/>
          <w:noProof/>
          <w:color w:val="000000"/>
          <w:sz w:val="24"/>
        </w:rPr>
        <w:t>operaționale coordonate la frontierele terestre externe, contribuind la controlul migrației neregulamentare și la combaterea introducerii ilegale de migranți și furnizând informații. Este esențial ca agenția să aibă capacitatea de a răspunde no</w:t>
      </w:r>
      <w:r>
        <w:rPr>
          <w:rFonts w:ascii="Times New Roman" w:hAnsi="Times New Roman"/>
          <w:noProof/>
          <w:color w:val="000000"/>
          <w:sz w:val="24"/>
        </w:rPr>
        <w:t xml:space="preserve">ilor tendințe, cum ar fi creșterea presiunii în partea de vest a Mării Mediterane. </w:t>
      </w:r>
      <w:r>
        <w:rPr>
          <w:rFonts w:ascii="Times New Roman" w:hAnsi="Times New Roman"/>
          <w:noProof/>
          <w:sz w:val="24"/>
        </w:rPr>
        <w:t>Cu toate acestea, Agenția se confruntă în continuare, în mod regulat, cu o penurie de resurse umane și de echipamente tehnice, ceea ce o împiedică să pună la dispoziție resu</w:t>
      </w:r>
      <w:r>
        <w:rPr>
          <w:rFonts w:ascii="Times New Roman" w:hAnsi="Times New Roman"/>
          <w:noProof/>
          <w:sz w:val="24"/>
        </w:rPr>
        <w:t>rsele necesare în cadrul responsabilității comune cu statele membre. Cei doi piloni ai poliției de frontieră și gărzii de coastă la nivel european sunt interdependenți și pot garanta integritatea spațiului Schengen numai dacă acționează la unison.</w:t>
      </w:r>
    </w:p>
    <w:p w:rsidR="0021727D" w:rsidRDefault="0021727D">
      <w:pPr>
        <w:jc w:val="both"/>
        <w:rPr>
          <w:rFonts w:ascii="Times New Roman" w:hAnsi="Times New Roman"/>
          <w:noProof/>
          <w:color w:val="000000"/>
          <w:sz w:val="24"/>
          <w:szCs w:val="24"/>
        </w:rPr>
      </w:pPr>
    </w:p>
    <w:p w:rsidR="0021727D" w:rsidRDefault="00406850">
      <w:pPr>
        <w:jc w:val="both"/>
        <w:rPr>
          <w:rFonts w:ascii="Times New Roman" w:hAnsi="Times New Roman"/>
          <w:noProof/>
          <w:color w:val="000000"/>
          <w:sz w:val="24"/>
          <w:szCs w:val="24"/>
        </w:rPr>
      </w:pPr>
      <w:r>
        <w:rPr>
          <w:rFonts w:ascii="Times New Roman" w:hAnsi="Times New Roman"/>
          <w:noProof/>
          <w:color w:val="000000"/>
          <w:sz w:val="24"/>
        </w:rPr>
        <w:t xml:space="preserve">Pentru </w:t>
      </w:r>
      <w:r>
        <w:rPr>
          <w:rFonts w:ascii="Times New Roman" w:hAnsi="Times New Roman"/>
          <w:noProof/>
          <w:color w:val="000000"/>
          <w:sz w:val="24"/>
        </w:rPr>
        <w:t>gestionarea frontierelor trebuie valorificate toate instrumentele disponibile. Acest lucru înseamnă utilizarea întregului potențial de care dispune tehnologia informației. Extinderea și modernizarea sistemelor de tehnologie a informațiilor utilizate pentru</w:t>
      </w:r>
      <w:r>
        <w:rPr>
          <w:rFonts w:ascii="Times New Roman" w:hAnsi="Times New Roman"/>
          <w:noProof/>
          <w:color w:val="000000"/>
          <w:sz w:val="24"/>
        </w:rPr>
        <w:t xml:space="preserve"> gestionarea frontierelor și pentru securitate au deschis noi posibilități de folosire comună a acestor instrumente. Punerea în aplicare a viitoarelor acte legislative privind interoperabilitatea sistemelor de informații ale UE – cu garanțiile corespunzăto</w:t>
      </w:r>
      <w:r>
        <w:rPr>
          <w:rFonts w:ascii="Times New Roman" w:hAnsi="Times New Roman"/>
          <w:noProof/>
          <w:color w:val="000000"/>
          <w:sz w:val="24"/>
        </w:rPr>
        <w:t xml:space="preserve">are privind protecția datelor – le va permite autorităților să aplice normele într-un mod mai eficace. </w:t>
      </w:r>
    </w:p>
    <w:p w:rsidR="0021727D" w:rsidRDefault="0021727D">
      <w:pPr>
        <w:jc w:val="both"/>
        <w:rPr>
          <w:rFonts w:ascii="Times New Roman" w:hAnsi="Times New Roman"/>
          <w:noProof/>
          <w:sz w:val="24"/>
          <w:szCs w:val="24"/>
        </w:rPr>
      </w:pPr>
    </w:p>
    <w:p w:rsidR="0021727D" w:rsidRDefault="00406850">
      <w:pPr>
        <w:pStyle w:val="ListParagraph"/>
        <w:ind w:left="0"/>
        <w:jc w:val="both"/>
        <w:rPr>
          <w:rFonts w:ascii="Times New Roman" w:hAnsi="Times New Roman"/>
          <w:noProof/>
          <w:sz w:val="24"/>
          <w:szCs w:val="24"/>
        </w:rPr>
      </w:pPr>
      <w:r>
        <w:rPr>
          <w:rFonts w:ascii="Times New Roman" w:hAnsi="Times New Roman"/>
          <w:noProof/>
          <w:sz w:val="24"/>
        </w:rPr>
        <w:t>Propunerea Comisiei din septembrie 2018 privind consolidarea și echiparea completă a poliției de frontieră și gărzii de coastă a vizat luarea de măsuri</w:t>
      </w:r>
      <w:r>
        <w:rPr>
          <w:rFonts w:ascii="Times New Roman" w:hAnsi="Times New Roman"/>
          <w:noProof/>
          <w:sz w:val="24"/>
        </w:rPr>
        <w:t xml:space="preserve"> ferme în sensul unei reale gestionări integrate a frontierelor. Conform propunerii, poliția de frontieră și garda de coastă ar urma să intre într-o nouă etapă operațională, având o rezervă permanentă de 10 000 membri ai personalului operațional care vor e</w:t>
      </w:r>
      <w:r>
        <w:rPr>
          <w:rFonts w:ascii="Times New Roman" w:hAnsi="Times New Roman"/>
          <w:noProof/>
          <w:sz w:val="24"/>
        </w:rPr>
        <w:t>xercita competențe executive, vor dispune de propriul echipament și, în același timp, vor respecta pe deplin atât drepturile fundamentale, cât și suveranitatea statelor membre asupra propriilor frontiere. Motivul care stă la baza acestei propuneri este fap</w:t>
      </w:r>
      <w:r>
        <w:rPr>
          <w:rFonts w:ascii="Times New Roman" w:hAnsi="Times New Roman"/>
          <w:noProof/>
          <w:sz w:val="24"/>
        </w:rPr>
        <w:t>tul că Uniunea Europeană nu este încă suficient de bine echipată pentru a face față crizelor de la frontierele externe, în special în cazul în care am asista brusc la sosirea masivă de migranți în situație neregulamentară. Acest nivel de pregătire este cri</w:t>
      </w:r>
      <w:r>
        <w:rPr>
          <w:rFonts w:ascii="Times New Roman" w:hAnsi="Times New Roman"/>
          <w:noProof/>
          <w:sz w:val="24"/>
        </w:rPr>
        <w:t xml:space="preserve">teriul de referință, dacă se dorește ca frontierele externe să fie considerate suficient de puternice pentru a restabili încrederea cetățenilor UE în spațiul Schengen. Negocierile referitoare la această propunere se află în faza de trilog, fapt care arată </w:t>
      </w:r>
      <w:r>
        <w:rPr>
          <w:rFonts w:ascii="Times New Roman" w:hAnsi="Times New Roman"/>
          <w:noProof/>
          <w:sz w:val="24"/>
        </w:rPr>
        <w:t>că toate instituțiile fac eforturi pentru ca această propunere să fie adoptată înainte de alegerile pentru Parlamentul European din 2019.</w:t>
      </w:r>
    </w:p>
    <w:p w:rsidR="0021727D" w:rsidRDefault="0021727D">
      <w:pPr>
        <w:pStyle w:val="ListParagraph"/>
        <w:ind w:left="0"/>
        <w:jc w:val="both"/>
        <w:rPr>
          <w:rFonts w:ascii="Times New Roman" w:hAnsi="Times New Roman"/>
          <w:noProof/>
          <w:sz w:val="24"/>
          <w:szCs w:val="24"/>
        </w:rPr>
      </w:pPr>
    </w:p>
    <w:p w:rsidR="0021727D" w:rsidRDefault="00406850">
      <w:pPr>
        <w:keepNext/>
        <w:spacing w:after="120"/>
        <w:jc w:val="both"/>
        <w:rPr>
          <w:rFonts w:ascii="Times New Roman" w:hAnsi="Times New Roman"/>
          <w:i/>
          <w:noProof/>
          <w:sz w:val="24"/>
          <w:szCs w:val="24"/>
        </w:rPr>
      </w:pPr>
      <w:r>
        <w:rPr>
          <w:rFonts w:ascii="Times New Roman" w:hAnsi="Times New Roman"/>
          <w:i/>
          <w:noProof/>
          <w:sz w:val="24"/>
        </w:rPr>
        <w:t>Colaborarea cu țările terțe partenere</w:t>
      </w:r>
    </w:p>
    <w:p w:rsidR="0021727D" w:rsidRDefault="00406850">
      <w:pPr>
        <w:jc w:val="both"/>
        <w:rPr>
          <w:rFonts w:ascii="Times New Roman" w:hAnsi="Times New Roman"/>
          <w:noProof/>
          <w:sz w:val="24"/>
          <w:szCs w:val="24"/>
        </w:rPr>
      </w:pPr>
      <w:r>
        <w:rPr>
          <w:rFonts w:ascii="Times New Roman" w:hAnsi="Times New Roman"/>
          <w:noProof/>
          <w:sz w:val="24"/>
        </w:rPr>
        <w:t>Sprijinirea țărilor din afara UE și cooperarea cu acestea sunt esențiale pentru</w:t>
      </w:r>
      <w:r>
        <w:rPr>
          <w:rFonts w:ascii="Times New Roman" w:hAnsi="Times New Roman"/>
          <w:noProof/>
          <w:sz w:val="24"/>
        </w:rPr>
        <w:t xml:space="preserve"> protejarea frontierelor externe ale UE. Un prim pas constă în stabilirea unor relații strânse de colaborare, pentru a detașa echipe în cadrul unor operațiuni comune, de ambele părți ale frontierelor comune. În acest scop, Comisia a negociat acorduri privi</w:t>
      </w:r>
      <w:r>
        <w:rPr>
          <w:rFonts w:ascii="Times New Roman" w:hAnsi="Times New Roman"/>
          <w:noProof/>
          <w:sz w:val="24"/>
        </w:rPr>
        <w:t>nd statutul cu cinci țări din Balcanii de Vest. S-a semnat un acord privind statutul cu Albania și s-au parafat acorduri similare cu Republica Macedonia de Nord</w:t>
      </w:r>
      <w:r>
        <w:rPr>
          <w:noProof/>
        </w:rPr>
        <w:t xml:space="preserve"> </w:t>
      </w:r>
      <w:r>
        <w:rPr>
          <w:rFonts w:ascii="Times New Roman" w:hAnsi="Times New Roman"/>
          <w:noProof/>
          <w:sz w:val="24"/>
        </w:rPr>
        <w:t>(în iulie 2018), Serbia (în septembrie 2018), Bosnia și Herțegovina (în ianuarie 2019) și Munte</w:t>
      </w:r>
      <w:r>
        <w:rPr>
          <w:rFonts w:ascii="Times New Roman" w:hAnsi="Times New Roman"/>
          <w:noProof/>
          <w:sz w:val="24"/>
        </w:rPr>
        <w:t>negru (în februarie 2019).</w:t>
      </w:r>
    </w:p>
    <w:p w:rsidR="0021727D" w:rsidRDefault="0021727D">
      <w:pPr>
        <w:jc w:val="both"/>
        <w:rPr>
          <w:rFonts w:ascii="Times New Roman" w:hAnsi="Times New Roman"/>
          <w:noProof/>
          <w:sz w:val="24"/>
          <w:szCs w:val="24"/>
        </w:rPr>
      </w:pPr>
    </w:p>
    <w:p w:rsidR="0021727D" w:rsidRDefault="00406850">
      <w:pPr>
        <w:jc w:val="both"/>
        <w:rPr>
          <w:rFonts w:ascii="Times New Roman" w:hAnsi="Times New Roman"/>
          <w:noProof/>
          <w:color w:val="000000"/>
          <w:sz w:val="24"/>
          <w:szCs w:val="24"/>
        </w:rPr>
      </w:pPr>
      <w:r>
        <w:rPr>
          <w:rFonts w:ascii="Times New Roman" w:hAnsi="Times New Roman"/>
          <w:noProof/>
          <w:color w:val="000000"/>
          <w:sz w:val="24"/>
        </w:rPr>
        <w:t xml:space="preserve">Expertiza UE poate, de asemenea, face diferența printr-o cooperare operațională activă. UE a ajutat paza de coastă libiană să își îmbunătățească semnificativ capacitatea de a salva oameni pe mare și să împiedice persoanele care </w:t>
      </w:r>
      <w:r>
        <w:rPr>
          <w:rFonts w:ascii="Times New Roman" w:hAnsi="Times New Roman"/>
          <w:noProof/>
          <w:color w:val="000000"/>
          <w:sz w:val="24"/>
        </w:rPr>
        <w:t>introduc ilegal migranți să trimită oameni pe mare la bordul unor nave nesigure. Trebuie organizate mai multe cursuri de formare, inclusiv în domeniul drepturilor omului și al dreptului internațional al mării. Acum</w:t>
      </w:r>
      <w:r>
        <w:rPr>
          <w:rFonts w:ascii="Times New Roman" w:hAnsi="Times New Roman"/>
          <w:noProof/>
          <w:sz w:val="24"/>
        </w:rPr>
        <w:t>, dat fiind faptul că Libia a notificat of</w:t>
      </w:r>
      <w:r>
        <w:rPr>
          <w:rFonts w:ascii="Times New Roman" w:hAnsi="Times New Roman"/>
          <w:noProof/>
          <w:sz w:val="24"/>
        </w:rPr>
        <w:t xml:space="preserve">icial Organizației Maritime Internaționale zona sa de căutare și de salvare, trebuie să îi sprijinim capacitățile prin crearea unui centru de coordonare a operațiunilor de salvare pe mare de sine stătător. </w:t>
      </w:r>
      <w:r>
        <w:rPr>
          <w:rFonts w:ascii="Times New Roman" w:hAnsi="Times New Roman"/>
          <w:noProof/>
          <w:color w:val="000000"/>
          <w:sz w:val="24"/>
        </w:rPr>
        <w:t>Sprijinul UE a vizat, de asemenea, salvarea de vie</w:t>
      </w:r>
      <w:r>
        <w:rPr>
          <w:rFonts w:ascii="Times New Roman" w:hAnsi="Times New Roman"/>
          <w:noProof/>
          <w:color w:val="000000"/>
          <w:sz w:val="24"/>
        </w:rPr>
        <w:t>ți pe rutele terestre: datorită sprijinului oferit Nigerului de UE și de statele sale membre, au scăzut drastic fluxurile de migrație, iar colaborarea cu Organizația Internațională pentru Migrație a condus la căutarea și salvarea a peste 13 000 de migranți</w:t>
      </w:r>
      <w:r>
        <w:rPr>
          <w:rFonts w:ascii="Times New Roman" w:hAnsi="Times New Roman"/>
          <w:noProof/>
          <w:color w:val="000000"/>
          <w:sz w:val="24"/>
        </w:rPr>
        <w:t xml:space="preserve"> în deșertul nigerian. </w:t>
      </w:r>
    </w:p>
    <w:p w:rsidR="0021727D" w:rsidRDefault="0021727D">
      <w:pPr>
        <w:contextualSpacing/>
        <w:jc w:val="both"/>
        <w:rPr>
          <w:rFonts w:ascii="Times New Roman" w:eastAsia="Calibri" w:hAnsi="Times New Roman"/>
          <w:noProof/>
          <w:sz w:val="24"/>
          <w:szCs w:val="24"/>
        </w:rPr>
      </w:pPr>
    </w:p>
    <w:p w:rsidR="0021727D" w:rsidRDefault="00406850">
      <w:pPr>
        <w:contextualSpacing/>
        <w:jc w:val="both"/>
        <w:rPr>
          <w:rFonts w:ascii="Times New Roman" w:hAnsi="Times New Roman"/>
          <w:noProof/>
          <w:sz w:val="24"/>
          <w:szCs w:val="24"/>
        </w:rPr>
      </w:pPr>
      <w:r>
        <w:rPr>
          <w:rFonts w:ascii="Times New Roman" w:hAnsi="Times New Roman"/>
          <w:noProof/>
          <w:sz w:val="24"/>
        </w:rPr>
        <w:t>UE și statele membre oferă un sprijin semnificativ și întreprinde acțiuni de dezvoltare a capacității pentru a ajuta țările partenere să își gestioneze frontierele. S-a pus un accent deosebit pe programele regionale: programul priv</w:t>
      </w:r>
      <w:r>
        <w:rPr>
          <w:rFonts w:ascii="Times New Roman" w:hAnsi="Times New Roman"/>
          <w:noProof/>
          <w:sz w:val="24"/>
        </w:rPr>
        <w:t>ind o mai bună gestionare a migrației în Cornul Africii a contribuit la instituirea unor patrule transfrontaliere comune și a unor puncte comune de trecere a frontierei între parteneri precum Etiopia și Sudanul de Sud, precum și la schimbul de bune practic</w:t>
      </w:r>
      <w:r>
        <w:rPr>
          <w:rFonts w:ascii="Times New Roman" w:hAnsi="Times New Roman"/>
          <w:noProof/>
          <w:sz w:val="24"/>
        </w:rPr>
        <w:t xml:space="preserve">i. </w:t>
      </w:r>
    </w:p>
    <w:p w:rsidR="0021727D" w:rsidRDefault="0021727D">
      <w:pPr>
        <w:contextualSpacing/>
        <w:jc w:val="both"/>
        <w:rPr>
          <w:rFonts w:ascii="Times New Roman" w:hAnsi="Times New Roman"/>
          <w:noProof/>
          <w:sz w:val="24"/>
          <w:szCs w:val="24"/>
        </w:rPr>
      </w:pPr>
    </w:p>
    <w:p w:rsidR="0021727D" w:rsidRDefault="00406850">
      <w:pPr>
        <w:contextualSpacing/>
        <w:jc w:val="both"/>
        <w:rPr>
          <w:rFonts w:ascii="Times New Roman" w:hAnsi="Times New Roman"/>
          <w:noProof/>
          <w:sz w:val="24"/>
          <w:szCs w:val="24"/>
        </w:rPr>
      </w:pPr>
      <w:r>
        <w:rPr>
          <w:rFonts w:ascii="Times New Roman" w:hAnsi="Times New Roman"/>
          <w:noProof/>
          <w:sz w:val="24"/>
        </w:rPr>
        <w:t>Aceste acțiuni sunt întreprinse în strânsă cooperare cu activitățile din cadrul politicii externe și de securitate comune și prin desfășurarea de misiuni în cadrul politicii de securitate și apărare comune. Misiunea UE de asistență la frontieră spriji</w:t>
      </w:r>
      <w:r>
        <w:rPr>
          <w:rFonts w:ascii="Times New Roman" w:hAnsi="Times New Roman"/>
          <w:noProof/>
          <w:sz w:val="24"/>
        </w:rPr>
        <w:t xml:space="preserve">nă, în Libia, dezvoltarea unui cadru mai larg de gestionare a frontierelor și oferă consiliere strategică ministerelor de resort. Pe lângă cursurile de formare oferite pazei de coastă libiene, mandatul operației Sophia combină acțiunile de destabilizare a </w:t>
      </w:r>
      <w:r>
        <w:rPr>
          <w:rFonts w:ascii="Times New Roman" w:hAnsi="Times New Roman"/>
          <w:noProof/>
          <w:sz w:val="24"/>
        </w:rPr>
        <w:t xml:space="preserve">rețelelor de persoane care introduc ilegal migranți și a traficului de arme cu activități de supraveghere (de exemplu în ceea ce privește contrabanda cu petrol). UE a putut astfel contribui în mod semnificativ la îmbunătățirea securității maritime globale </w:t>
      </w:r>
      <w:r>
        <w:rPr>
          <w:rFonts w:ascii="Times New Roman" w:hAnsi="Times New Roman"/>
          <w:noProof/>
          <w:sz w:val="24"/>
        </w:rPr>
        <w:t>și la reinstituirea stabilității în zona centrală a Mării Mediterane. În decembrie 2018, mandatul operației Sophia a fost prelungit cu trei luni, însă, în lipsa unei soluții privind debarcarea, nu s-a hotărât dacă aceasta va continua.</w:t>
      </w:r>
    </w:p>
    <w:p w:rsidR="0021727D" w:rsidRDefault="0021727D">
      <w:pPr>
        <w:jc w:val="both"/>
        <w:rPr>
          <w:noProof/>
        </w:rPr>
      </w:pPr>
    </w:p>
    <w:tbl>
      <w:tblPr>
        <w:tblStyle w:val="TableGrid"/>
        <w:tblW w:w="0" w:type="auto"/>
        <w:tblLook w:val="04A0" w:firstRow="1" w:lastRow="0" w:firstColumn="1" w:lastColumn="0" w:noHBand="0" w:noVBand="1"/>
      </w:tblPr>
      <w:tblGrid>
        <w:gridCol w:w="9286"/>
      </w:tblGrid>
      <w:tr w:rsidR="0021727D">
        <w:tc>
          <w:tcPr>
            <w:tcW w:w="9286" w:type="dxa"/>
            <w:shd w:val="clear" w:color="auto" w:fill="1F497D" w:themeFill="text2"/>
          </w:tcPr>
          <w:p w:rsidR="0021727D" w:rsidRDefault="00406850">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 xml:space="preserve">Următoarele etape </w:t>
            </w:r>
            <w:r>
              <w:rPr>
                <w:rFonts w:ascii="Times New Roman" w:hAnsi="Times New Roman"/>
                <w:b/>
                <w:noProof/>
                <w:color w:val="FFFFFF" w:themeColor="background1"/>
                <w:sz w:val="24"/>
              </w:rPr>
              <w:t>importante</w:t>
            </w:r>
          </w:p>
        </w:tc>
      </w:tr>
      <w:tr w:rsidR="0021727D">
        <w:tc>
          <w:tcPr>
            <w:tcW w:w="9286" w:type="dxa"/>
            <w:shd w:val="clear" w:color="auto" w:fill="C6D9F1" w:themeFill="text2" w:themeFillTint="33"/>
          </w:tcPr>
          <w:p w:rsidR="0021727D" w:rsidRDefault="00406850">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 xml:space="preserve">Parlamentul European și Consiliul ar trebui să adopte </w:t>
            </w:r>
            <w:r>
              <w:rPr>
                <w:rFonts w:ascii="Times New Roman" w:hAnsi="Times New Roman"/>
                <w:b/>
                <w:i/>
                <w:noProof/>
                <w:sz w:val="24"/>
              </w:rPr>
              <w:t>versiunea revizuită a propunerii privind poliția de frontieră și garda de coastă la nivel european</w:t>
            </w:r>
            <w:r>
              <w:rPr>
                <w:rFonts w:ascii="Times New Roman" w:hAnsi="Times New Roman"/>
                <w:noProof/>
                <w:sz w:val="24"/>
              </w:rPr>
              <w:t xml:space="preserve"> înainte de alegerile pentru Parlamentul European</w:t>
            </w:r>
            <w:r>
              <w:rPr>
                <w:rFonts w:ascii="Times New Roman" w:hAnsi="Times New Roman"/>
                <w:b/>
                <w:i/>
                <w:noProof/>
                <w:sz w:val="24"/>
              </w:rPr>
              <w:t>.</w:t>
            </w:r>
          </w:p>
          <w:p w:rsidR="0021727D" w:rsidRDefault="00406850">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 xml:space="preserve">Statele membre ar trebui să se asigure că Agenția Europeană pentru Poliția de Frontieră și Garda de Coastă dispune de resursele necesare pentru a evalua periodic situația de la fața locului și să asigure </w:t>
            </w:r>
            <w:r>
              <w:rPr>
                <w:rFonts w:ascii="Times New Roman" w:hAnsi="Times New Roman"/>
                <w:b/>
                <w:i/>
                <w:noProof/>
                <w:sz w:val="24"/>
              </w:rPr>
              <w:t>operațiunile esențiale de la frontiere</w:t>
            </w:r>
            <w:r>
              <w:rPr>
                <w:rFonts w:ascii="Times New Roman" w:hAnsi="Times New Roman"/>
                <w:noProof/>
                <w:sz w:val="24"/>
              </w:rPr>
              <w:t>. Agențiile UE</w:t>
            </w:r>
            <w:r>
              <w:rPr>
                <w:rFonts w:ascii="Times New Roman" w:hAnsi="Times New Roman"/>
                <w:noProof/>
                <w:sz w:val="24"/>
              </w:rPr>
              <w:t xml:space="preserve"> ar trebui să își intensifice activitatea pe ruta vest-mediteraneeană.</w:t>
            </w:r>
          </w:p>
          <w:p w:rsidR="0021727D" w:rsidRDefault="00406850">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 xml:space="preserve">Comisia și agențiile UE ar trebui să asigure dezvoltarea și aplicarea rapidă a </w:t>
            </w:r>
            <w:r>
              <w:rPr>
                <w:rFonts w:ascii="Times New Roman" w:hAnsi="Times New Roman"/>
                <w:b/>
                <w:i/>
                <w:noProof/>
                <w:sz w:val="24"/>
              </w:rPr>
              <w:t>interoperabilității</w:t>
            </w:r>
            <w:r>
              <w:rPr>
                <w:rFonts w:ascii="Times New Roman" w:hAnsi="Times New Roman"/>
                <w:noProof/>
                <w:sz w:val="24"/>
              </w:rPr>
              <w:t xml:space="preserve"> sistemelor de control la frontieră și a sistemelor de securitate, primele elemente urm</w:t>
            </w:r>
            <w:r>
              <w:rPr>
                <w:rFonts w:ascii="Times New Roman" w:hAnsi="Times New Roman"/>
                <w:noProof/>
                <w:sz w:val="24"/>
              </w:rPr>
              <w:t>ând a fi deja operaționale în 2020.</w:t>
            </w:r>
          </w:p>
          <w:p w:rsidR="0021727D" w:rsidRDefault="00406850">
            <w:pPr>
              <w:pStyle w:val="ListParagraph"/>
              <w:numPr>
                <w:ilvl w:val="0"/>
                <w:numId w:val="68"/>
              </w:numPr>
              <w:ind w:left="426" w:hanging="426"/>
              <w:jc w:val="both"/>
              <w:rPr>
                <w:rFonts w:ascii="Times New Roman" w:hAnsi="Times New Roman"/>
                <w:noProof/>
                <w:sz w:val="24"/>
                <w:szCs w:val="24"/>
              </w:rPr>
            </w:pPr>
            <w:r>
              <w:rPr>
                <w:rFonts w:ascii="Times New Roman" w:hAnsi="Times New Roman"/>
                <w:noProof/>
                <w:sz w:val="24"/>
              </w:rPr>
              <w:t xml:space="preserve">După ce va obține aprobarea Parlamentului European, Consiliul va finaliza rapid </w:t>
            </w:r>
            <w:r>
              <w:rPr>
                <w:rFonts w:ascii="Times New Roman" w:hAnsi="Times New Roman"/>
                <w:b/>
                <w:i/>
                <w:noProof/>
                <w:sz w:val="24"/>
              </w:rPr>
              <w:t>acordurile privind statutul negociate cu țările din Balcanii de Vest</w:t>
            </w:r>
            <w:r>
              <w:rPr>
                <w:rFonts w:ascii="Times New Roman" w:hAnsi="Times New Roman"/>
                <w:noProof/>
                <w:sz w:val="24"/>
              </w:rPr>
              <w:t xml:space="preserve"> și va asigura punerea imediată în practică a acestora.</w:t>
            </w:r>
          </w:p>
        </w:tc>
      </w:tr>
    </w:tbl>
    <w:p w:rsidR="0021727D" w:rsidRDefault="0021727D">
      <w:pPr>
        <w:jc w:val="both"/>
        <w:rPr>
          <w:noProof/>
        </w:rPr>
      </w:pPr>
    </w:p>
    <w:p w:rsidR="0021727D" w:rsidRDefault="0021727D">
      <w:pPr>
        <w:jc w:val="both"/>
        <w:rPr>
          <w:rFonts w:ascii="Times New Roman" w:hAnsi="Times New Roman"/>
          <w:noProof/>
          <w:color w:val="000000"/>
          <w:sz w:val="24"/>
          <w:szCs w:val="24"/>
        </w:rPr>
      </w:pPr>
    </w:p>
    <w:p w:rsidR="0021727D" w:rsidRDefault="00406850">
      <w:pPr>
        <w:pStyle w:val="ListParagraph"/>
        <w:numPr>
          <w:ilvl w:val="0"/>
          <w:numId w:val="3"/>
        </w:numPr>
        <w:jc w:val="both"/>
        <w:rPr>
          <w:rFonts w:ascii="Times New Roman" w:hAnsi="Times New Roman"/>
          <w:b/>
          <w:i/>
          <w:noProof/>
          <w:sz w:val="24"/>
          <w:szCs w:val="24"/>
        </w:rPr>
      </w:pPr>
      <w:r>
        <w:rPr>
          <w:rFonts w:ascii="Times New Roman" w:hAnsi="Times New Roman"/>
          <w:b/>
          <w:i/>
          <w:noProof/>
          <w:sz w:val="24"/>
        </w:rPr>
        <w:t>O Uniune Euro</w:t>
      </w:r>
      <w:r>
        <w:rPr>
          <w:rFonts w:ascii="Times New Roman" w:hAnsi="Times New Roman"/>
          <w:b/>
          <w:i/>
          <w:noProof/>
          <w:sz w:val="24"/>
        </w:rPr>
        <w:t xml:space="preserve">peană care oferă protecție și azil </w:t>
      </w:r>
    </w:p>
    <w:p w:rsidR="0021727D" w:rsidRDefault="0021727D">
      <w:pPr>
        <w:pStyle w:val="ListParagraph"/>
        <w:ind w:left="360"/>
        <w:jc w:val="both"/>
        <w:rPr>
          <w:rFonts w:ascii="Times New Roman" w:hAnsi="Times New Roman"/>
          <w:b/>
          <w:noProof/>
          <w:color w:val="000000"/>
          <w:sz w:val="24"/>
          <w:szCs w:val="24"/>
          <w:u w:val="single"/>
        </w:rPr>
      </w:pPr>
    </w:p>
    <w:p w:rsidR="0021727D" w:rsidRDefault="00406850">
      <w:pPr>
        <w:keepNext/>
        <w:spacing w:after="120"/>
        <w:jc w:val="both"/>
        <w:rPr>
          <w:rFonts w:ascii="Times New Roman" w:hAnsi="Times New Roman"/>
          <w:i/>
          <w:noProof/>
          <w:color w:val="000000"/>
          <w:sz w:val="24"/>
          <w:szCs w:val="24"/>
        </w:rPr>
      </w:pPr>
      <w:r>
        <w:rPr>
          <w:rFonts w:ascii="Times New Roman" w:hAnsi="Times New Roman"/>
          <w:i/>
          <w:noProof/>
          <w:color w:val="000000"/>
          <w:sz w:val="24"/>
        </w:rPr>
        <w:t>Modernizarea sistemului european comun de azil</w:t>
      </w:r>
    </w:p>
    <w:p w:rsidR="0021727D" w:rsidRDefault="00406850">
      <w:pPr>
        <w:jc w:val="both"/>
        <w:rPr>
          <w:rFonts w:ascii="Times New Roman" w:hAnsi="Times New Roman"/>
          <w:noProof/>
          <w:color w:val="000000"/>
          <w:sz w:val="24"/>
          <w:szCs w:val="24"/>
        </w:rPr>
      </w:pPr>
      <w:r>
        <w:rPr>
          <w:rFonts w:ascii="Times New Roman" w:hAnsi="Times New Roman"/>
          <w:noProof/>
          <w:color w:val="000000"/>
          <w:sz w:val="24"/>
        </w:rPr>
        <w:t xml:space="preserve">Comisia are convingerea că UE este capabilă să își reformeze sistemul de azil pentru a-i putea proteja mai bine pe migranții care au nevoie de protecție și a le oferi </w:t>
      </w:r>
      <w:r>
        <w:rPr>
          <w:rFonts w:ascii="Times New Roman" w:hAnsi="Times New Roman"/>
          <w:noProof/>
          <w:color w:val="000000"/>
          <w:sz w:val="24"/>
        </w:rPr>
        <w:t>condiții decente și, în același timp, pentru a returna persoanele care nu au drept de ședere în Europa. UE trebuie să le demonstreze cetățenilor săi că este capabilă să realizeze un sistem de azil echitabil și adecvat scopului urmărit și că, prin adoptarea</w:t>
      </w:r>
      <w:r>
        <w:rPr>
          <w:rFonts w:ascii="Times New Roman" w:hAnsi="Times New Roman"/>
          <w:noProof/>
          <w:color w:val="000000"/>
          <w:sz w:val="24"/>
        </w:rPr>
        <w:t xml:space="preserve"> unor măsuri mai stricte la frontieră, ar putea să gestioneze o viitoare creștere a presiunii exercitate de migrație. Faptul că sosirile neregulamentare au scăzut, ajungând la nivelurile de dinainte de criză, nu poate masca neajunsurile existente și necesi</w:t>
      </w:r>
      <w:r>
        <w:rPr>
          <w:rFonts w:ascii="Times New Roman" w:hAnsi="Times New Roman"/>
          <w:noProof/>
          <w:color w:val="000000"/>
          <w:sz w:val="24"/>
        </w:rPr>
        <w:t>tatea reformării profunde a sistemului.</w:t>
      </w:r>
    </w:p>
    <w:p w:rsidR="0021727D" w:rsidRDefault="0021727D">
      <w:pPr>
        <w:jc w:val="both"/>
        <w:rPr>
          <w:rFonts w:ascii="Times New Roman" w:hAnsi="Times New Roman"/>
          <w:noProof/>
          <w:color w:val="000000"/>
          <w:sz w:val="24"/>
          <w:szCs w:val="24"/>
        </w:rPr>
      </w:pPr>
    </w:p>
    <w:p w:rsidR="0021727D" w:rsidRDefault="00406850">
      <w:pPr>
        <w:jc w:val="both"/>
        <w:rPr>
          <w:rFonts w:ascii="Times New Roman" w:hAnsi="Times New Roman"/>
          <w:noProof/>
          <w:color w:val="000000"/>
          <w:sz w:val="24"/>
          <w:szCs w:val="24"/>
        </w:rPr>
      </w:pPr>
      <w:r>
        <w:rPr>
          <w:rFonts w:ascii="Times New Roman" w:hAnsi="Times New Roman"/>
          <w:noProof/>
          <w:color w:val="000000"/>
          <w:sz w:val="24"/>
        </w:rPr>
        <w:t>Este fundamentală o abordare la nivelul UE, care să se bazeze pe garanții puternice că fiecare stat membru va trata cererile de azil de care este responsabil și pe un mecanism de solidaritate structurat și predictib</w:t>
      </w:r>
      <w:r>
        <w:rPr>
          <w:rFonts w:ascii="Times New Roman" w:hAnsi="Times New Roman"/>
          <w:noProof/>
          <w:color w:val="000000"/>
          <w:sz w:val="24"/>
        </w:rPr>
        <w:t>il menit să garanteze că niciun stat membru nu suportă o sarcină disproporționată. Sistemul de azil al UE poate fi pe deplin eficace și în măsură să inspire încredere numai dacă această solidaritate este sistematică, nu punctuală. Aceasta merge mână în mân</w:t>
      </w:r>
      <w:r>
        <w:rPr>
          <w:rFonts w:ascii="Times New Roman" w:hAnsi="Times New Roman"/>
          <w:noProof/>
          <w:color w:val="000000"/>
          <w:sz w:val="24"/>
        </w:rPr>
        <w:t xml:space="preserve">ă cu norme clare, simple și comune privind formularea unui răspuns la cererile de azil, cu consolidarea datelor biometrice care stau la baza punerii în aplicare a normelor și cu un sprijin operațional și financiar suficient oferit statelor membre. </w:t>
      </w:r>
    </w:p>
    <w:p w:rsidR="0021727D" w:rsidRDefault="0021727D">
      <w:pPr>
        <w:jc w:val="both"/>
        <w:rPr>
          <w:rFonts w:ascii="Times New Roman" w:hAnsi="Times New Roman"/>
          <w:noProof/>
          <w:color w:val="000000"/>
          <w:sz w:val="24"/>
          <w:szCs w:val="24"/>
        </w:rPr>
      </w:pPr>
    </w:p>
    <w:p w:rsidR="0021727D" w:rsidRDefault="00406850">
      <w:pPr>
        <w:jc w:val="both"/>
        <w:rPr>
          <w:rFonts w:ascii="Times New Roman" w:hAnsi="Times New Roman"/>
          <w:noProof/>
          <w:color w:val="000000"/>
          <w:sz w:val="24"/>
          <w:szCs w:val="24"/>
        </w:rPr>
      </w:pPr>
      <w:r>
        <w:rPr>
          <w:rFonts w:ascii="Times New Roman" w:hAnsi="Times New Roman"/>
          <w:noProof/>
          <w:color w:val="000000"/>
          <w:sz w:val="24"/>
        </w:rPr>
        <w:t xml:space="preserve">Atât </w:t>
      </w:r>
      <w:r>
        <w:rPr>
          <w:rFonts w:ascii="Times New Roman" w:hAnsi="Times New Roman"/>
          <w:noProof/>
          <w:color w:val="000000"/>
          <w:sz w:val="24"/>
        </w:rPr>
        <w:t>timp cât tratamentul acordat solicitanților de azil variază în mod semnificativ de la un stat membru la altul, iar responsabilitatea statelor membre în ceea ce privește tratarea cererilor de azil poate fi transferată cu ușurință de la un stat membru la alt</w:t>
      </w:r>
      <w:r>
        <w:rPr>
          <w:rFonts w:ascii="Times New Roman" w:hAnsi="Times New Roman"/>
          <w:noProof/>
          <w:color w:val="000000"/>
          <w:sz w:val="24"/>
        </w:rPr>
        <w:t>ul, sistemul de azil al UE va rămâne predispus la abuzuri, la cereri de azil multiple și la deplasări secundare. Este nevoie de norme mai stricte și de criterii armonizate de acordare a protecției, precum și de condiții egale și echitabile pentru solicitan</w:t>
      </w:r>
      <w:r>
        <w:rPr>
          <w:rFonts w:ascii="Times New Roman" w:hAnsi="Times New Roman"/>
          <w:noProof/>
          <w:color w:val="000000"/>
          <w:sz w:val="24"/>
        </w:rPr>
        <w:t>ții de azil și beneficiarii din întreaga Uniune. Sistemul de azil poate fi credibil doar dacă solicitanții de azil ale căror cereri de azil au fost respinse și care nu mai au dreptul să rămână pe teritoriul UE sunt returnați rapid. În acest scop, trebuie i</w:t>
      </w:r>
      <w:r>
        <w:rPr>
          <w:rFonts w:ascii="Times New Roman" w:hAnsi="Times New Roman"/>
          <w:noProof/>
          <w:color w:val="000000"/>
          <w:sz w:val="24"/>
        </w:rPr>
        <w:t>nstituită o legătură armonioasă între sistemul de azil și un sistem eficace de returnare, cu respectarea deplină a drepturilor fundamentale.</w:t>
      </w:r>
    </w:p>
    <w:p w:rsidR="0021727D" w:rsidRDefault="0021727D">
      <w:pPr>
        <w:jc w:val="both"/>
        <w:rPr>
          <w:rFonts w:ascii="Times New Roman" w:hAnsi="Times New Roman"/>
          <w:noProof/>
          <w:color w:val="000000"/>
          <w:sz w:val="24"/>
          <w:szCs w:val="24"/>
        </w:rPr>
      </w:pPr>
    </w:p>
    <w:p w:rsidR="0021727D" w:rsidRDefault="00406850">
      <w:pPr>
        <w:jc w:val="both"/>
        <w:rPr>
          <w:noProof/>
          <w:color w:val="000000"/>
        </w:rPr>
      </w:pPr>
      <w:r>
        <w:rPr>
          <w:rFonts w:ascii="Times New Roman" w:hAnsi="Times New Roman"/>
          <w:noProof/>
          <w:color w:val="000000"/>
          <w:sz w:val="24"/>
        </w:rPr>
        <w:t>Comisia a prezentat toate propunerile necesare în acest sens și sprijină cu fermitate o abordare pas cu pas în cee</w:t>
      </w:r>
      <w:r>
        <w:rPr>
          <w:rFonts w:ascii="Times New Roman" w:hAnsi="Times New Roman"/>
          <w:noProof/>
          <w:color w:val="000000"/>
          <w:sz w:val="24"/>
        </w:rPr>
        <w:t>a ce privește adoptarea fiecăreia dintre propuneri. În prezent, se poate ajunge la acorduri politice echilibrate pentru cinci propuneri legate de reforma sistemului de azil. Parlamentul European și Consiliul ar trebui să profite acum de ocazie pentru a fin</w:t>
      </w:r>
      <w:r>
        <w:rPr>
          <w:rFonts w:ascii="Times New Roman" w:hAnsi="Times New Roman"/>
          <w:noProof/>
          <w:color w:val="000000"/>
          <w:sz w:val="24"/>
        </w:rPr>
        <w:t>aliza acest proces în timp util pentru alegerile parlamentare europene și pentru a le demonstra cetățenilor că UE are capacitatea de a realiza progrese în acest domeniu. După cum a precizat Comisia în decembrie 2018</w:t>
      </w:r>
      <w:r>
        <w:rPr>
          <w:rStyle w:val="FootnoteReference"/>
          <w:rFonts w:ascii="Times New Roman" w:hAnsi="Times New Roman"/>
          <w:noProof/>
          <w:color w:val="000000"/>
          <w:sz w:val="24"/>
        </w:rPr>
        <w:footnoteReference w:id="42"/>
      </w:r>
      <w:r>
        <w:rPr>
          <w:rFonts w:ascii="Times New Roman" w:hAnsi="Times New Roman"/>
          <w:noProof/>
          <w:color w:val="000000"/>
          <w:sz w:val="24"/>
        </w:rPr>
        <w:t xml:space="preserve">, fiecare dintre aceste propuneri oferă </w:t>
      </w:r>
      <w:r>
        <w:rPr>
          <w:rFonts w:ascii="Times New Roman" w:hAnsi="Times New Roman"/>
          <w:noProof/>
          <w:color w:val="000000"/>
          <w:sz w:val="24"/>
        </w:rPr>
        <w:t>un beneficiu substanțial și nu există niciun element tehnic sau juridic care să împiedice adoptarea separată a uneia sau a mai multora dintre ele. Regulamentul privind condițiile pentru protecția internațională va garanta drepturile refugiaților recunoscuț</w:t>
      </w:r>
      <w:r>
        <w:rPr>
          <w:rFonts w:ascii="Times New Roman" w:hAnsi="Times New Roman"/>
          <w:noProof/>
          <w:color w:val="000000"/>
          <w:sz w:val="24"/>
        </w:rPr>
        <w:t>i și va descuraja deplasările secundare. Directiva privind condițiile de primire va aborda, de asemenea, deplasările secundare, prin asigurarea unor condiții armonizate și decente pentru solicitanții de azil în întreaga Uniune. Regulamentul privind Agenția</w:t>
      </w:r>
      <w:r>
        <w:rPr>
          <w:rFonts w:ascii="Times New Roman" w:hAnsi="Times New Roman"/>
          <w:noProof/>
          <w:color w:val="000000"/>
          <w:sz w:val="24"/>
        </w:rPr>
        <w:t xml:space="preserve"> pentru Azil îi va permite acestei agenții să își intensifice asistența acordată statelor membre printr-un sprijin rapid și deplin. Noile norme privind baza de date EURODAC le va permite statelor membre să urmărească deplasările secundare și să identifice </w:t>
      </w:r>
      <w:r>
        <w:rPr>
          <w:rFonts w:ascii="Times New Roman" w:hAnsi="Times New Roman"/>
          <w:noProof/>
          <w:color w:val="000000"/>
          <w:sz w:val="24"/>
        </w:rPr>
        <w:t>mai bine persoanele care nu au drept de ședere în UE. Cadrul de relocare al Uniunii va garanta căi sigure și legale, va reduce fluxurile neregulamentare și ne va facilita relațiile cu partenerii externi. Comisia va continua să colaboreze cu Parlamentul Eur</w:t>
      </w:r>
      <w:r>
        <w:rPr>
          <w:rFonts w:ascii="Times New Roman" w:hAnsi="Times New Roman"/>
          <w:noProof/>
          <w:color w:val="000000"/>
          <w:sz w:val="24"/>
        </w:rPr>
        <w:t>opean și cu Consiliul în vederea realizării de progrese până când se va ajunge la etapa finală.</w:t>
      </w:r>
      <w:r>
        <w:rPr>
          <w:noProof/>
          <w:color w:val="000000"/>
        </w:rPr>
        <w:t xml:space="preserve"> </w:t>
      </w:r>
    </w:p>
    <w:p w:rsidR="0021727D" w:rsidRDefault="0021727D">
      <w:pPr>
        <w:jc w:val="both"/>
        <w:rPr>
          <w:rFonts w:ascii="Times New Roman" w:hAnsi="Times New Roman"/>
          <w:noProof/>
          <w:color w:val="000000"/>
          <w:sz w:val="24"/>
          <w:szCs w:val="24"/>
        </w:rPr>
      </w:pPr>
    </w:p>
    <w:p w:rsidR="0021727D" w:rsidRDefault="00406850">
      <w:pPr>
        <w:jc w:val="both"/>
        <w:rPr>
          <w:rFonts w:ascii="Times New Roman" w:hAnsi="Times New Roman"/>
          <w:noProof/>
          <w:color w:val="000000"/>
          <w:sz w:val="24"/>
          <w:szCs w:val="24"/>
        </w:rPr>
      </w:pPr>
      <w:r>
        <w:rPr>
          <w:rFonts w:ascii="Times New Roman" w:hAnsi="Times New Roman"/>
          <w:noProof/>
          <w:color w:val="000000"/>
          <w:sz w:val="24"/>
        </w:rPr>
        <w:t>De asemenea, Comisia continuă să monitorizeze modul în care statele membre ale UE pun în aplicare actualul sistem al UE în materie de azil, inclusiv prin exam</w:t>
      </w:r>
      <w:r>
        <w:rPr>
          <w:rFonts w:ascii="Times New Roman" w:hAnsi="Times New Roman"/>
          <w:noProof/>
          <w:color w:val="000000"/>
          <w:sz w:val="24"/>
        </w:rPr>
        <w:t xml:space="preserve">inarea deficiențelor legate de punerea în aplicare sau de aplicarea legislației naționale care transpune diferitele instrumente în materie de azil. </w:t>
      </w:r>
    </w:p>
    <w:p w:rsidR="0021727D" w:rsidRDefault="0021727D">
      <w:pPr>
        <w:jc w:val="both"/>
        <w:rPr>
          <w:rFonts w:ascii="Times New Roman" w:hAnsi="Times New Roman"/>
          <w:noProof/>
          <w:color w:val="000000"/>
          <w:sz w:val="24"/>
          <w:szCs w:val="24"/>
        </w:rPr>
      </w:pPr>
    </w:p>
    <w:p w:rsidR="0021727D" w:rsidRDefault="00406850">
      <w:pPr>
        <w:keepNext/>
        <w:spacing w:after="120"/>
        <w:jc w:val="both"/>
        <w:rPr>
          <w:rFonts w:ascii="Times New Roman" w:hAnsi="Times New Roman"/>
          <w:i/>
          <w:noProof/>
          <w:color w:val="000000"/>
          <w:sz w:val="24"/>
          <w:szCs w:val="24"/>
        </w:rPr>
      </w:pPr>
      <w:r>
        <w:rPr>
          <w:rFonts w:ascii="Times New Roman" w:hAnsi="Times New Roman"/>
          <w:i/>
          <w:noProof/>
          <w:color w:val="000000"/>
          <w:sz w:val="24"/>
        </w:rPr>
        <w:t>Sprijinul UE pentru protecție în străinătate</w:t>
      </w:r>
    </w:p>
    <w:p w:rsidR="0021727D" w:rsidRDefault="00406850">
      <w:pPr>
        <w:jc w:val="both"/>
        <w:rPr>
          <w:rFonts w:ascii="Times New Roman" w:hAnsi="Times New Roman"/>
          <w:noProof/>
          <w:color w:val="000000"/>
          <w:sz w:val="24"/>
          <w:szCs w:val="24"/>
        </w:rPr>
      </w:pPr>
      <w:r>
        <w:rPr>
          <w:rFonts w:ascii="Times New Roman" w:hAnsi="Times New Roman"/>
          <w:noProof/>
          <w:sz w:val="24"/>
        </w:rPr>
        <w:t xml:space="preserve">Oferirea de căi ordonate și sigure de relocare celor care au </w:t>
      </w:r>
      <w:r>
        <w:rPr>
          <w:rFonts w:ascii="Times New Roman" w:hAnsi="Times New Roman"/>
          <w:noProof/>
          <w:sz w:val="24"/>
        </w:rPr>
        <w:t xml:space="preserve">cea mai mare nevoie de sprijin reflectă valorile Uniunii Europene și ne sporește credibilitatea în rândul țărilor terțe partenere. </w:t>
      </w:r>
      <w:r>
        <w:rPr>
          <w:rFonts w:ascii="Times New Roman" w:hAnsi="Times New Roman"/>
          <w:noProof/>
          <w:color w:val="000000"/>
          <w:sz w:val="24"/>
        </w:rPr>
        <w:t>Relocarea le oferă o cale sigură către Europa persoanelor care au dreptul la protecție internațională. În cadrul actualei sch</w:t>
      </w:r>
      <w:r>
        <w:rPr>
          <w:rFonts w:ascii="Times New Roman" w:hAnsi="Times New Roman"/>
          <w:noProof/>
          <w:color w:val="000000"/>
          <w:sz w:val="24"/>
        </w:rPr>
        <w:t>eme comunitare de relocare, 20 de state membre s-au angajat să ofere, până în octombrie 2019, peste 50 000 de locuri persoanelor care au cea mai mare nevoie de sprijin. Peste 24 000 din aceste angajamente s-au materializat deja, persoanelor respective ofer</w:t>
      </w:r>
      <w:r>
        <w:rPr>
          <w:rFonts w:ascii="Times New Roman" w:hAnsi="Times New Roman"/>
          <w:noProof/>
          <w:color w:val="000000"/>
          <w:sz w:val="24"/>
        </w:rPr>
        <w:t>indu-li-se un adăpost în UE. De exemplu, continuarea relocării a peste 2 000 de persoane din Libia a fost esențială pentru capacitatea UE de a oferi protecție celor care au nevoie stringentă de ajutor, în colaborare cu UNHCR și cu autoritățile nigeriene. Î</w:t>
      </w:r>
      <w:r>
        <w:rPr>
          <w:rFonts w:ascii="Times New Roman" w:hAnsi="Times New Roman"/>
          <w:noProof/>
          <w:color w:val="000000"/>
          <w:sz w:val="24"/>
        </w:rPr>
        <w:t xml:space="preserve">n prezent, statele membre trebuie să mențină această dinamică și să se asigure că, până în luna octombrie, își vor respecta angajamentele rămase. </w:t>
      </w:r>
    </w:p>
    <w:p w:rsidR="0021727D" w:rsidRDefault="0021727D">
      <w:pPr>
        <w:jc w:val="both"/>
        <w:rPr>
          <w:rFonts w:ascii="Times New Roman" w:hAnsi="Times New Roman"/>
          <w:noProof/>
          <w:color w:val="000000"/>
          <w:sz w:val="24"/>
          <w:szCs w:val="24"/>
        </w:rPr>
      </w:pPr>
    </w:p>
    <w:p w:rsidR="0021727D" w:rsidRDefault="00406850">
      <w:pPr>
        <w:jc w:val="both"/>
        <w:rPr>
          <w:rFonts w:ascii="Times New Roman" w:hAnsi="Times New Roman"/>
          <w:noProof/>
          <w:color w:val="000000"/>
          <w:sz w:val="24"/>
          <w:szCs w:val="24"/>
        </w:rPr>
      </w:pPr>
      <w:r>
        <w:rPr>
          <w:rFonts w:ascii="Times New Roman" w:hAnsi="Times New Roman"/>
          <w:noProof/>
          <w:color w:val="000000"/>
          <w:sz w:val="24"/>
        </w:rPr>
        <w:t>Protecția refugiaților și a migranților în afara UE s-a numărat, începând cu anul 2015, printre principalele</w:t>
      </w:r>
      <w:r>
        <w:rPr>
          <w:rFonts w:ascii="Times New Roman" w:hAnsi="Times New Roman"/>
          <w:noProof/>
          <w:color w:val="000000"/>
          <w:sz w:val="24"/>
        </w:rPr>
        <w:t xml:space="preserve"> teme ale UE. Milioane de persoane au beneficiat de ajutor datorită unor programe menite să răspundă nevoilor de bază și să amelioreze calitatea vieții persoanelor forțate să fugă din calea conflictelor din propria țară. </w:t>
      </w:r>
      <w:r>
        <w:rPr>
          <w:rFonts w:ascii="Times New Roman" w:hAnsi="Times New Roman"/>
          <w:noProof/>
          <w:sz w:val="24"/>
        </w:rPr>
        <w:t>În special, criza prelungită din Si</w:t>
      </w:r>
      <w:r>
        <w:rPr>
          <w:rFonts w:ascii="Times New Roman" w:hAnsi="Times New Roman"/>
          <w:noProof/>
          <w:sz w:val="24"/>
        </w:rPr>
        <w:t xml:space="preserve">ria a generat nevoi umanitare enorme pentru mai bine de 13 milioane de persoane aflate pe teritoriul țării și 5,6 milioane de persoane din țările vecine. </w:t>
      </w:r>
    </w:p>
    <w:p w:rsidR="0021727D" w:rsidRDefault="0021727D">
      <w:pPr>
        <w:jc w:val="both"/>
        <w:rPr>
          <w:rFonts w:ascii="Times New Roman" w:hAnsi="Times New Roman"/>
          <w:noProof/>
          <w:color w:val="000000"/>
          <w:sz w:val="24"/>
          <w:szCs w:val="24"/>
        </w:rPr>
      </w:pPr>
    </w:p>
    <w:p w:rsidR="0021727D" w:rsidRDefault="00406850">
      <w:pPr>
        <w:pStyle w:val="ListParagraph"/>
        <w:numPr>
          <w:ilvl w:val="0"/>
          <w:numId w:val="64"/>
        </w:numPr>
        <w:spacing w:after="120"/>
        <w:ind w:left="425" w:hanging="357"/>
        <w:contextualSpacing w:val="0"/>
        <w:jc w:val="both"/>
        <w:rPr>
          <w:rFonts w:ascii="Times New Roman" w:hAnsi="Times New Roman"/>
          <w:noProof/>
          <w:color w:val="000000"/>
          <w:sz w:val="24"/>
          <w:szCs w:val="24"/>
        </w:rPr>
      </w:pPr>
      <w:r>
        <w:rPr>
          <w:rFonts w:ascii="Times New Roman" w:hAnsi="Times New Roman"/>
          <w:noProof/>
          <w:color w:val="000000"/>
          <w:sz w:val="24"/>
        </w:rPr>
        <w:t>UE contribuie, prin intermediul Instrumentului pentru refugiații din Turcia, la sarcina uriașă de gă</w:t>
      </w:r>
      <w:r>
        <w:rPr>
          <w:rFonts w:ascii="Times New Roman" w:hAnsi="Times New Roman"/>
          <w:noProof/>
          <w:color w:val="000000"/>
          <w:sz w:val="24"/>
        </w:rPr>
        <w:t xml:space="preserve">zduire, în Turcia, a aproape 4 milioane de refugiați. Până la sfârșitul anului 2018, </w:t>
      </w:r>
      <w:r>
        <w:rPr>
          <w:rFonts w:ascii="Times New Roman" w:hAnsi="Times New Roman"/>
          <w:noProof/>
          <w:sz w:val="24"/>
        </w:rPr>
        <w:t>1,5 milioane de refugiați, dintre cei mai vulnerabili, au beneficiat de asistență umanitară prin intermediul Plasei de siguranță socială de urgență, un sistem de asistență</w:t>
      </w:r>
      <w:r>
        <w:rPr>
          <w:rFonts w:ascii="Times New Roman" w:hAnsi="Times New Roman"/>
          <w:noProof/>
          <w:sz w:val="24"/>
        </w:rPr>
        <w:t xml:space="preserve"> socială care are rolul de „plasă de siguranță”, iar peste 410 000 de elevi au fost școlarizați</w:t>
      </w:r>
      <w:r>
        <w:rPr>
          <w:rStyle w:val="FootnoteReference"/>
          <w:rFonts w:ascii="Times New Roman" w:hAnsi="Times New Roman"/>
          <w:noProof/>
          <w:sz w:val="24"/>
        </w:rPr>
        <w:footnoteReference w:id="43"/>
      </w:r>
      <w:r>
        <w:rPr>
          <w:noProof/>
        </w:rPr>
        <w:t>.</w:t>
      </w:r>
      <w:r>
        <w:rPr>
          <w:rFonts w:ascii="Times New Roman" w:hAnsi="Times New Roman"/>
          <w:noProof/>
          <w:sz w:val="24"/>
        </w:rPr>
        <w:t xml:space="preserve"> Alți 600 000 de copii au beneficiat de sprijin pentru a se integra în sistemul turc de învățământ. S-au finanțat patru milioane de consultații medicale primar</w:t>
      </w:r>
      <w:r>
        <w:rPr>
          <w:rFonts w:ascii="Times New Roman" w:hAnsi="Times New Roman"/>
          <w:noProof/>
          <w:sz w:val="24"/>
        </w:rPr>
        <w:t>e și s-au vaccinat peste 500 000 de copii sirieni. S-a angajat deja suma de 1,2 miliarde EUR din a doua tranșă de 3 miliarde EUR.</w:t>
      </w:r>
    </w:p>
    <w:p w:rsidR="0021727D" w:rsidRDefault="00406850">
      <w:pPr>
        <w:pStyle w:val="ListParagraph"/>
        <w:numPr>
          <w:ilvl w:val="0"/>
          <w:numId w:val="64"/>
        </w:numPr>
        <w:spacing w:after="120"/>
        <w:ind w:left="425" w:hanging="357"/>
        <w:contextualSpacing w:val="0"/>
        <w:jc w:val="both"/>
        <w:rPr>
          <w:rFonts w:ascii="Times New Roman" w:hAnsi="Times New Roman"/>
          <w:noProof/>
          <w:sz w:val="24"/>
        </w:rPr>
      </w:pPr>
      <w:r>
        <w:rPr>
          <w:rFonts w:ascii="Times New Roman" w:hAnsi="Times New Roman"/>
          <w:noProof/>
          <w:sz w:val="24"/>
        </w:rPr>
        <w:t xml:space="preserve">În 2018, UE și-a respectat angajamentul asumat în cadrul Conferinței Bruxelles II privind sprijinul acordat Siriei și țărilor </w:t>
      </w:r>
      <w:r>
        <w:rPr>
          <w:rFonts w:ascii="Times New Roman" w:hAnsi="Times New Roman"/>
          <w:noProof/>
          <w:sz w:val="24"/>
        </w:rPr>
        <w:t>din regiune, nivelul total al sprijinului oferit de UE</w:t>
      </w:r>
      <w:r>
        <w:rPr>
          <w:rStyle w:val="Strong"/>
          <w:b w:val="0"/>
          <w:noProof/>
          <w:sz w:val="24"/>
        </w:rPr>
        <w:t xml:space="preserve"> și de statele sale membre</w:t>
      </w:r>
      <w:r>
        <w:rPr>
          <w:noProof/>
        </w:rPr>
        <w:t xml:space="preserve"> </w:t>
      </w:r>
      <w:r>
        <w:rPr>
          <w:rFonts w:ascii="Times New Roman" w:hAnsi="Times New Roman"/>
          <w:noProof/>
          <w:sz w:val="24"/>
        </w:rPr>
        <w:t xml:space="preserve">de la începutul crizei până acum ajungând la aproape </w:t>
      </w:r>
      <w:r>
        <w:rPr>
          <w:rStyle w:val="Strong"/>
          <w:b w:val="0"/>
          <w:noProof/>
          <w:sz w:val="24"/>
        </w:rPr>
        <w:t>17 miliarde EUR</w:t>
      </w:r>
      <w:r>
        <w:rPr>
          <w:rFonts w:ascii="Times New Roman" w:hAnsi="Times New Roman"/>
          <w:noProof/>
          <w:sz w:val="24"/>
        </w:rPr>
        <w:t>, UE fiind astfel cel mai mare donator. Pe lângă Turcia, UE a oferit un ajutor umanitar</w:t>
      </w:r>
      <w:r>
        <w:rPr>
          <w:noProof/>
        </w:rPr>
        <w:t xml:space="preserve"> </w:t>
      </w:r>
      <w:r>
        <w:rPr>
          <w:rStyle w:val="Strong"/>
          <w:b w:val="0"/>
          <w:noProof/>
          <w:sz w:val="24"/>
        </w:rPr>
        <w:t>substanțial atât pe</w:t>
      </w:r>
      <w:r>
        <w:rPr>
          <w:rStyle w:val="Strong"/>
          <w:b w:val="0"/>
          <w:noProof/>
          <w:sz w:val="24"/>
        </w:rPr>
        <w:t>rsoanelor strămutate în interiorul Siriei, cât și refugiaților și comunităților-gazdă din Iordania și Liban, precum și Irakului și Egiptului.</w:t>
      </w:r>
      <w:r>
        <w:rPr>
          <w:rFonts w:ascii="Times New Roman" w:hAnsi="Times New Roman"/>
          <w:noProof/>
          <w:sz w:val="24"/>
        </w:rPr>
        <w:t xml:space="preserve"> Per ansamblu,</w:t>
      </w:r>
      <w:r>
        <w:rPr>
          <w:rFonts w:ascii="Times New Roman" w:hAnsi="Times New Roman"/>
          <w:noProof/>
          <w:color w:val="000000"/>
          <w:sz w:val="24"/>
        </w:rPr>
        <w:t xml:space="preserve"> în 2018, Fondul fiduciar regional al Uniunii Europene ca răspuns la criza siriană a oferit sprijin unui număr de aproximativ 2 milioane de refugiați sirieni și comunităților-gazdă</w:t>
      </w:r>
      <w:r>
        <w:rPr>
          <w:rStyle w:val="FootnoteReference"/>
          <w:rFonts w:ascii="Times New Roman" w:hAnsi="Times New Roman"/>
          <w:noProof/>
          <w:color w:val="000000"/>
          <w:sz w:val="24"/>
        </w:rPr>
        <w:footnoteReference w:id="44"/>
      </w:r>
      <w:r>
        <w:rPr>
          <w:noProof/>
        </w:rPr>
        <w:t>.</w:t>
      </w:r>
      <w:r>
        <w:rPr>
          <w:rFonts w:ascii="Times New Roman" w:hAnsi="Times New Roman"/>
          <w:noProof/>
          <w:color w:val="000000"/>
          <w:sz w:val="24"/>
        </w:rPr>
        <w:t xml:space="preserve"> </w:t>
      </w:r>
      <w:r>
        <w:rPr>
          <w:rFonts w:ascii="Times New Roman" w:hAnsi="Times New Roman"/>
          <w:noProof/>
          <w:sz w:val="24"/>
        </w:rPr>
        <w:t>Următoarea Conferință de la Bruxelles III va fi principalul</w:t>
      </w:r>
      <w:r>
        <w:rPr>
          <w:rFonts w:ascii="Times New Roman" w:hAnsi="Times New Roman"/>
          <w:b/>
          <w:noProof/>
          <w:sz w:val="24"/>
        </w:rPr>
        <w:t xml:space="preserve"> </w:t>
      </w:r>
      <w:r>
        <w:rPr>
          <w:rFonts w:ascii="Times New Roman" w:hAnsi="Times New Roman"/>
          <w:noProof/>
          <w:sz w:val="24"/>
        </w:rPr>
        <w:t xml:space="preserve">eveniment al </w:t>
      </w:r>
      <w:r>
        <w:rPr>
          <w:rFonts w:ascii="Times New Roman" w:hAnsi="Times New Roman"/>
          <w:noProof/>
          <w:sz w:val="24"/>
        </w:rPr>
        <w:t>donatorilor organizat în 2019 ca reacție la criza siriană, UE intenționând să își prelungească angajamentul asumat în ultimii ani.</w:t>
      </w:r>
    </w:p>
    <w:p w:rsidR="0021727D" w:rsidRDefault="00406850">
      <w:pPr>
        <w:pStyle w:val="ListParagraph"/>
        <w:numPr>
          <w:ilvl w:val="0"/>
          <w:numId w:val="64"/>
        </w:numPr>
        <w:spacing w:after="120"/>
        <w:ind w:left="425" w:hanging="357"/>
        <w:contextualSpacing w:val="0"/>
        <w:jc w:val="both"/>
        <w:rPr>
          <w:rFonts w:ascii="Times New Roman" w:hAnsi="Times New Roman"/>
          <w:noProof/>
          <w:color w:val="000000"/>
          <w:sz w:val="24"/>
          <w:szCs w:val="24"/>
        </w:rPr>
      </w:pPr>
      <w:r>
        <w:rPr>
          <w:rFonts w:ascii="Times New Roman" w:hAnsi="Times New Roman"/>
          <w:noProof/>
          <w:color w:val="000000"/>
          <w:sz w:val="24"/>
        </w:rPr>
        <w:t xml:space="preserve">Programele regionale de dezvoltare și protecție s-au concentrat pe Africa de Nord și Cornul Africii, oferind sprijin țărilor </w:t>
      </w:r>
      <w:r>
        <w:rPr>
          <w:rFonts w:ascii="Times New Roman" w:hAnsi="Times New Roman"/>
          <w:noProof/>
          <w:color w:val="000000"/>
          <w:sz w:val="24"/>
        </w:rPr>
        <w:t>terțe care găzduiesc un număr mare de refugiați pentru a răspunde nevoilor de protecție și dezvoltare ale acestora</w:t>
      </w:r>
      <w:r>
        <w:rPr>
          <w:rStyle w:val="FootnoteReference"/>
          <w:rFonts w:ascii="Times New Roman" w:hAnsi="Times New Roman"/>
          <w:noProof/>
          <w:color w:val="000000"/>
          <w:sz w:val="24"/>
        </w:rPr>
        <w:footnoteReference w:id="45"/>
      </w:r>
      <w:r>
        <w:rPr>
          <w:noProof/>
        </w:rPr>
        <w:t>.</w:t>
      </w:r>
    </w:p>
    <w:p w:rsidR="0021727D" w:rsidRDefault="00406850">
      <w:pPr>
        <w:pStyle w:val="ListParagraph"/>
        <w:numPr>
          <w:ilvl w:val="0"/>
          <w:numId w:val="64"/>
        </w:numPr>
        <w:spacing w:after="120"/>
        <w:ind w:left="426"/>
        <w:jc w:val="both"/>
        <w:rPr>
          <w:rFonts w:ascii="Times New Roman" w:hAnsi="Times New Roman"/>
          <w:noProof/>
          <w:color w:val="000000"/>
          <w:sz w:val="24"/>
          <w:szCs w:val="24"/>
        </w:rPr>
      </w:pPr>
      <w:r>
        <w:rPr>
          <w:rFonts w:ascii="Times New Roman" w:hAnsi="Times New Roman"/>
          <w:noProof/>
          <w:color w:val="000000"/>
          <w:sz w:val="24"/>
        </w:rPr>
        <w:t>Pe lângă ajutorul umanitar, unul dintre domeniile principale ale Fondului fiduciar al UE pentru Africa este protecția, prin care se acoperă</w:t>
      </w:r>
      <w:r>
        <w:rPr>
          <w:rFonts w:ascii="Times New Roman" w:hAnsi="Times New Roman"/>
          <w:noProof/>
          <w:color w:val="000000"/>
          <w:sz w:val="24"/>
        </w:rPr>
        <w:t xml:space="preserve"> nevoile de bază ale persoanelor strămutate forțat. Cu peste 4 milioane de refugiați numai în regiunea Cornului Africii și cu 10 milioane de persoane strămutate în interiorul țării, potrivit estimărilor, Fondul fiduciar a oferit asistență populațiilor de r</w:t>
      </w:r>
      <w:r>
        <w:rPr>
          <w:rFonts w:ascii="Times New Roman" w:hAnsi="Times New Roman"/>
          <w:noProof/>
          <w:color w:val="000000"/>
          <w:sz w:val="24"/>
        </w:rPr>
        <w:t>efugiați în eforturile lor de a deveni autonome, sprijinind totodată comunitățile-gazdă. În cadrul finanțării oferite de Fondul fiduciar se acordă o atenție deosebită promovării stabilizării de bază în Somalia și Sudan.</w:t>
      </w:r>
    </w:p>
    <w:p w:rsidR="0021727D" w:rsidRDefault="00406850">
      <w:pPr>
        <w:jc w:val="both"/>
        <w:rPr>
          <w:rFonts w:ascii="Times New Roman" w:hAnsi="Times New Roman"/>
          <w:noProof/>
          <w:color w:val="000000"/>
          <w:sz w:val="24"/>
          <w:szCs w:val="24"/>
        </w:rPr>
      </w:pPr>
      <w:r>
        <w:rPr>
          <w:rFonts w:ascii="Times New Roman" w:hAnsi="Times New Roman"/>
          <w:noProof/>
          <w:color w:val="000000"/>
          <w:sz w:val="24"/>
        </w:rPr>
        <w:t xml:space="preserve">Strămutarea forțată este un fenomen </w:t>
      </w:r>
      <w:r>
        <w:rPr>
          <w:rFonts w:ascii="Times New Roman" w:hAnsi="Times New Roman"/>
          <w:noProof/>
          <w:color w:val="000000"/>
          <w:sz w:val="24"/>
        </w:rPr>
        <w:t>global care necesită soluții globale. Funcționarea sistemelor de azil este esențială, atât în țările terțe partenere, cât și în UE. UE ar trebui să utilizeze impulsul dat de Pactul mondial privind refugiații ca o platformă pentru a utiliza în continuare ca</w:t>
      </w:r>
      <w:r>
        <w:rPr>
          <w:rFonts w:ascii="Times New Roman" w:hAnsi="Times New Roman"/>
          <w:noProof/>
          <w:color w:val="000000"/>
          <w:sz w:val="24"/>
        </w:rPr>
        <w:t>drul existent la nivel UE pentru a ajuta țările terțe să ofere sprijin refugiaților în afara UE.</w:t>
      </w:r>
    </w:p>
    <w:p w:rsidR="0021727D" w:rsidRDefault="0021727D">
      <w:pPr>
        <w:jc w:val="both"/>
        <w:rPr>
          <w:rFonts w:ascii="Times New Roman" w:hAnsi="Times New Roman"/>
          <w:noProof/>
          <w:color w:val="000000"/>
          <w:sz w:val="24"/>
          <w:szCs w:val="24"/>
        </w:rPr>
      </w:pPr>
    </w:p>
    <w:tbl>
      <w:tblPr>
        <w:tblStyle w:val="TableGrid"/>
        <w:tblW w:w="0" w:type="auto"/>
        <w:tblLook w:val="04A0" w:firstRow="1" w:lastRow="0" w:firstColumn="1" w:lastColumn="0" w:noHBand="0" w:noVBand="1"/>
      </w:tblPr>
      <w:tblGrid>
        <w:gridCol w:w="9286"/>
      </w:tblGrid>
      <w:tr w:rsidR="0021727D">
        <w:tc>
          <w:tcPr>
            <w:tcW w:w="9286" w:type="dxa"/>
            <w:shd w:val="clear" w:color="auto" w:fill="1F497D" w:themeFill="text2"/>
          </w:tcPr>
          <w:p w:rsidR="0021727D" w:rsidRDefault="00406850">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Următoarele etape importante</w:t>
            </w:r>
          </w:p>
        </w:tc>
      </w:tr>
      <w:tr w:rsidR="0021727D">
        <w:tc>
          <w:tcPr>
            <w:tcW w:w="9286" w:type="dxa"/>
            <w:shd w:val="clear" w:color="auto" w:fill="C6D9F1" w:themeFill="text2" w:themeFillTint="33"/>
          </w:tcPr>
          <w:p w:rsidR="0021727D" w:rsidRDefault="00406850">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Parlamentul European și Consiliul ar trebui să adopte </w:t>
            </w:r>
            <w:r>
              <w:rPr>
                <w:rFonts w:ascii="Times New Roman" w:eastAsiaTheme="minorHAnsi" w:hAnsi="Times New Roman"/>
                <w:b/>
                <w:i/>
                <w:noProof/>
                <w:color w:val="000000"/>
                <w:sz w:val="24"/>
              </w:rPr>
              <w:t>noul cadru legislativ</w:t>
            </w:r>
            <w:r>
              <w:rPr>
                <w:rFonts w:ascii="Times New Roman" w:eastAsiaTheme="minorHAnsi" w:hAnsi="Times New Roman"/>
                <w:noProof/>
                <w:color w:val="000000"/>
                <w:sz w:val="24"/>
              </w:rPr>
              <w:t xml:space="preserve"> necesar pentru a institui un sistem european comun de azil care să corespundă provocărilor viitoare. Propunerile</w:t>
            </w:r>
            <w:r>
              <w:rPr>
                <w:rFonts w:ascii="Times New Roman" w:hAnsi="Times New Roman"/>
                <w:noProof/>
                <w:sz w:val="24"/>
              </w:rPr>
              <w:t xml:space="preserve"> care sunt aproape finalizate ar trebui </w:t>
            </w:r>
            <w:r>
              <w:rPr>
                <w:rFonts w:ascii="Times New Roman" w:eastAsiaTheme="minorHAnsi" w:hAnsi="Times New Roman"/>
                <w:noProof/>
                <w:color w:val="000000"/>
                <w:sz w:val="24"/>
              </w:rPr>
              <w:t>adoptate înaintea alegerilor pentru Parlamentul European.</w:t>
            </w:r>
          </w:p>
          <w:p w:rsidR="0021727D" w:rsidRDefault="00406850">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Statele membre ar trebui să se asigure că cel</w:t>
            </w:r>
            <w:r>
              <w:rPr>
                <w:rFonts w:ascii="Times New Roman" w:eastAsiaTheme="minorHAnsi" w:hAnsi="Times New Roman"/>
                <w:noProof/>
                <w:color w:val="000000"/>
                <w:sz w:val="24"/>
              </w:rPr>
              <w:t xml:space="preserve">e 50 000 de angajamente de </w:t>
            </w:r>
            <w:r>
              <w:rPr>
                <w:rFonts w:ascii="Times New Roman" w:eastAsiaTheme="minorHAnsi" w:hAnsi="Times New Roman"/>
                <w:b/>
                <w:i/>
                <w:noProof/>
                <w:color w:val="000000"/>
                <w:sz w:val="24"/>
              </w:rPr>
              <w:t>relocare</w:t>
            </w:r>
            <w:r>
              <w:rPr>
                <w:rFonts w:ascii="Times New Roman" w:eastAsiaTheme="minorHAnsi" w:hAnsi="Times New Roman"/>
                <w:noProof/>
                <w:color w:val="000000"/>
                <w:sz w:val="24"/>
              </w:rPr>
              <w:t xml:space="preserve"> sunt respectate până în octombrie 2019 (termenul-limită).</w:t>
            </w:r>
          </w:p>
          <w:p w:rsidR="0021727D" w:rsidRDefault="00406850">
            <w:pPr>
              <w:numPr>
                <w:ilvl w:val="0"/>
                <w:numId w:val="68"/>
              </w:numPr>
              <w:ind w:left="360"/>
              <w:contextualSpacing/>
              <w:jc w:val="both"/>
              <w:rPr>
                <w:rFonts w:ascii="Times New Roman" w:eastAsiaTheme="minorHAnsi" w:hAnsi="Times New Roman"/>
                <w:noProof/>
                <w:color w:val="000000"/>
                <w:sz w:val="24"/>
                <w:szCs w:val="24"/>
              </w:rPr>
            </w:pPr>
            <w:r>
              <w:rPr>
                <w:rFonts w:ascii="Times New Roman" w:eastAsiaTheme="minorHAnsi" w:hAnsi="Times New Roman"/>
                <w:noProof/>
                <w:color w:val="000000"/>
                <w:sz w:val="24"/>
              </w:rPr>
              <w:t xml:space="preserve">UE și statele membre ar trebui să mențină sprijinul esențial pentru </w:t>
            </w:r>
            <w:r>
              <w:rPr>
                <w:rFonts w:ascii="Times New Roman" w:eastAsiaTheme="minorHAnsi" w:hAnsi="Times New Roman"/>
                <w:b/>
                <w:i/>
                <w:noProof/>
                <w:color w:val="000000"/>
                <w:sz w:val="24"/>
              </w:rPr>
              <w:t>protecția refugiaților și a migranților în țări terțe</w:t>
            </w:r>
            <w:r>
              <w:rPr>
                <w:rFonts w:ascii="Times New Roman" w:eastAsiaTheme="minorHAnsi" w:hAnsi="Times New Roman"/>
                <w:noProof/>
                <w:color w:val="000000"/>
                <w:sz w:val="24"/>
              </w:rPr>
              <w:t xml:space="preserve">, inclusiv prin alinierea angajamentelor </w:t>
            </w:r>
            <w:r>
              <w:rPr>
                <w:rFonts w:ascii="Times New Roman" w:eastAsiaTheme="minorHAnsi" w:hAnsi="Times New Roman"/>
                <w:noProof/>
                <w:color w:val="000000"/>
                <w:sz w:val="24"/>
              </w:rPr>
              <w:t>anterioare la Conferința Bruxelles III privind Siria.</w:t>
            </w:r>
          </w:p>
        </w:tc>
      </w:tr>
    </w:tbl>
    <w:p w:rsidR="0021727D" w:rsidRDefault="0021727D">
      <w:pPr>
        <w:jc w:val="both"/>
        <w:rPr>
          <w:rFonts w:ascii="Times New Roman" w:hAnsi="Times New Roman"/>
          <w:noProof/>
          <w:color w:val="000000"/>
          <w:sz w:val="24"/>
          <w:szCs w:val="24"/>
        </w:rPr>
      </w:pPr>
    </w:p>
    <w:p w:rsidR="0021727D" w:rsidRDefault="0021727D">
      <w:pPr>
        <w:jc w:val="both"/>
        <w:rPr>
          <w:rFonts w:ascii="Times New Roman" w:hAnsi="Times New Roman"/>
          <w:noProof/>
          <w:color w:val="000000"/>
          <w:sz w:val="24"/>
          <w:szCs w:val="24"/>
        </w:rPr>
      </w:pPr>
    </w:p>
    <w:p w:rsidR="0021727D" w:rsidRDefault="00406850">
      <w:pPr>
        <w:pStyle w:val="ListParagraph"/>
        <w:numPr>
          <w:ilvl w:val="0"/>
          <w:numId w:val="3"/>
        </w:numPr>
        <w:rPr>
          <w:rFonts w:ascii="Times New Roman" w:hAnsi="Times New Roman"/>
          <w:b/>
          <w:i/>
          <w:noProof/>
          <w:sz w:val="24"/>
          <w:szCs w:val="24"/>
        </w:rPr>
      </w:pPr>
      <w:r>
        <w:rPr>
          <w:rFonts w:ascii="Times New Roman" w:hAnsi="Times New Roman"/>
          <w:b/>
          <w:i/>
          <w:noProof/>
          <w:sz w:val="24"/>
        </w:rPr>
        <w:t xml:space="preserve">Migrația legală și integrarea </w:t>
      </w:r>
    </w:p>
    <w:p w:rsidR="0021727D" w:rsidRDefault="0021727D">
      <w:pPr>
        <w:jc w:val="both"/>
        <w:rPr>
          <w:rFonts w:ascii="Times New Roman" w:hAnsi="Times New Roman"/>
          <w:noProof/>
          <w:color w:val="000000"/>
          <w:sz w:val="24"/>
          <w:szCs w:val="24"/>
        </w:rPr>
      </w:pPr>
    </w:p>
    <w:p w:rsidR="0021727D" w:rsidRDefault="00406850">
      <w:pPr>
        <w:jc w:val="both"/>
        <w:rPr>
          <w:rFonts w:ascii="Times New Roman" w:hAnsi="Times New Roman"/>
          <w:noProof/>
          <w:color w:val="000000"/>
          <w:sz w:val="24"/>
          <w:szCs w:val="24"/>
        </w:rPr>
      </w:pPr>
      <w:r>
        <w:rPr>
          <w:rFonts w:ascii="Times New Roman" w:hAnsi="Times New Roman"/>
          <w:noProof/>
          <w:color w:val="000000"/>
          <w:sz w:val="24"/>
        </w:rPr>
        <w:t>Căile legale reprezintă un element esențial al procesului de gestionare a migrației de către UE, ca factor de descurajare pentru utilizarea rutelor neregulamentare, precum și o dovadă a angajamentului UE față de parteneriate reale pe termen lung. Acestea s</w:t>
      </w:r>
      <w:r>
        <w:rPr>
          <w:rFonts w:ascii="Times New Roman" w:hAnsi="Times New Roman"/>
          <w:noProof/>
          <w:color w:val="000000"/>
          <w:sz w:val="24"/>
        </w:rPr>
        <w:t>unt, de asemenea, esențiale pentru ca UE să fie în măsură să răspundă necesităților actuale și viitoare în materie de competențe. Migrația legală are loc într-un cadru juridic bine dezvoltat la nivelul UE privind condițiile de admisie, procedurile și drept</w:t>
      </w:r>
      <w:r>
        <w:rPr>
          <w:rFonts w:ascii="Times New Roman" w:hAnsi="Times New Roman"/>
          <w:noProof/>
          <w:color w:val="000000"/>
          <w:sz w:val="24"/>
        </w:rPr>
        <w:t>urile resortisanților țărilor terțe, statele membre fiind cele care decid cu privire la numărul resortisanților țărilor terțe pe care îi primesc în scopuri economice. Cu toate acestea, cea mai importantă propunere din acest domeniu, și anume revizuirea Dir</w:t>
      </w:r>
      <w:r>
        <w:rPr>
          <w:rFonts w:ascii="Times New Roman" w:hAnsi="Times New Roman"/>
          <w:noProof/>
          <w:color w:val="000000"/>
          <w:sz w:val="24"/>
        </w:rPr>
        <w:t xml:space="preserve">ectivei privind cartea albastră, se află în impas. Comisia va prezenta în scurt timp rezultatele unei evaluări cuprinzătoare („verificarea adecvării”) a cadrului de reglementare privind migrația legală, în vederea mai multor consultări. </w:t>
      </w:r>
    </w:p>
    <w:p w:rsidR="0021727D" w:rsidRDefault="0021727D">
      <w:pPr>
        <w:jc w:val="both"/>
        <w:rPr>
          <w:rFonts w:ascii="Times New Roman" w:hAnsi="Times New Roman"/>
          <w:noProof/>
          <w:color w:val="000000"/>
          <w:sz w:val="24"/>
          <w:szCs w:val="24"/>
        </w:rPr>
      </w:pPr>
    </w:p>
    <w:p w:rsidR="0021727D" w:rsidRDefault="00406850">
      <w:pPr>
        <w:jc w:val="both"/>
        <w:rPr>
          <w:rFonts w:ascii="Times New Roman" w:hAnsi="Times New Roman"/>
          <w:noProof/>
          <w:color w:val="000000"/>
          <w:sz w:val="24"/>
          <w:szCs w:val="24"/>
        </w:rPr>
      </w:pPr>
      <w:r>
        <w:rPr>
          <w:rFonts w:ascii="Times New Roman" w:hAnsi="Times New Roman"/>
          <w:noProof/>
          <w:color w:val="000000"/>
          <w:sz w:val="24"/>
        </w:rPr>
        <w:t xml:space="preserve">Între timp, sunt </w:t>
      </w:r>
      <w:r>
        <w:rPr>
          <w:rFonts w:ascii="Times New Roman" w:hAnsi="Times New Roman"/>
          <w:noProof/>
          <w:color w:val="000000"/>
          <w:sz w:val="24"/>
        </w:rPr>
        <w:t xml:space="preserve">în curs de desfășurare sau de pregătire mai multe proiecte-pilot privind migrația forței de muncă. Acestea reprezintă un element important în deschiderea drumului către o nouă abordare privind migrația legală. Astfel de proiecte-pilot pot testa și pune în </w:t>
      </w:r>
      <w:r>
        <w:rPr>
          <w:rFonts w:ascii="Times New Roman" w:hAnsi="Times New Roman"/>
          <w:noProof/>
          <w:color w:val="000000"/>
          <w:sz w:val="24"/>
        </w:rPr>
        <w:t>aplicare noi structuri și abordări pentru o gestionare mai eficace a migrației legale cu principalele țări partenere. Proiectele la care participă Belgia și Lituania, Marocul și Nigeria combină soluțiile la lipsa de personal calificat în domeniul IT cu pos</w:t>
      </w:r>
      <w:r>
        <w:rPr>
          <w:rFonts w:ascii="Times New Roman" w:hAnsi="Times New Roman"/>
          <w:noProof/>
          <w:color w:val="000000"/>
          <w:sz w:val="24"/>
        </w:rPr>
        <w:t>ibilitatea reintegrării la sfârșitul proiectului. În prezent sunt în curs de evaluare alte propuneri de proiecte de cooperare cu țări din Africa de Nord, prezentate de Spania și Franța. Aceste proiecte specifice se adaugă unui program regional privind migr</w:t>
      </w:r>
      <w:r>
        <w:rPr>
          <w:rFonts w:ascii="Times New Roman" w:hAnsi="Times New Roman"/>
          <w:noProof/>
          <w:color w:val="000000"/>
          <w:sz w:val="24"/>
        </w:rPr>
        <w:t>ația legală prin care Germania participă la programe de mobilitate cu anumite țări din Africa de Nord, adoptat în decembrie 2018.</w:t>
      </w:r>
    </w:p>
    <w:p w:rsidR="0021727D" w:rsidRDefault="0021727D">
      <w:pPr>
        <w:jc w:val="both"/>
        <w:rPr>
          <w:rFonts w:ascii="Times New Roman" w:hAnsi="Times New Roman"/>
          <w:noProof/>
          <w:color w:val="000000"/>
          <w:sz w:val="24"/>
          <w:szCs w:val="24"/>
        </w:rPr>
      </w:pPr>
    </w:p>
    <w:p w:rsidR="0021727D" w:rsidRDefault="00406850">
      <w:pPr>
        <w:jc w:val="both"/>
        <w:rPr>
          <w:rFonts w:ascii="Times New Roman" w:hAnsi="Times New Roman"/>
          <w:noProof/>
          <w:color w:val="000000"/>
          <w:sz w:val="24"/>
          <w:szCs w:val="24"/>
        </w:rPr>
      </w:pPr>
      <w:r>
        <w:rPr>
          <w:rFonts w:ascii="Times New Roman" w:hAnsi="Times New Roman"/>
          <w:noProof/>
          <w:color w:val="000000"/>
          <w:sz w:val="24"/>
        </w:rPr>
        <w:t>Integrarea este o etapă esențială în cadrul procesului de migrație, necesară pentru a se asigura că abilitățile și competențe</w:t>
      </w:r>
      <w:r>
        <w:rPr>
          <w:rFonts w:ascii="Times New Roman" w:hAnsi="Times New Roman"/>
          <w:noProof/>
          <w:color w:val="000000"/>
          <w:sz w:val="24"/>
        </w:rPr>
        <w:t>le celor care au drept de ședere sunt întrebuințate și dezvoltate în beneficiul tuturor, dar și pentru a garanta faptul că societățile se bazează pe coeziune și sunt favorabile incluziunii. Integrarea cu succes a resortisanților țărilor terțe aflați în sit</w:t>
      </w:r>
      <w:r>
        <w:rPr>
          <w:rFonts w:ascii="Times New Roman" w:hAnsi="Times New Roman"/>
          <w:noProof/>
          <w:color w:val="000000"/>
          <w:sz w:val="24"/>
        </w:rPr>
        <w:t>uație de ședere legală este, prin urmare, esențială pentru găsirea unei soluții pentru migrație, atât din punct de vedere economic, cât și din punct de vedere social, având în vedere diferențele de rezultat între resortisanții țărilor terțe și cetățenii UE</w:t>
      </w:r>
      <w:r>
        <w:rPr>
          <w:rFonts w:ascii="Times New Roman" w:hAnsi="Times New Roman"/>
          <w:noProof/>
          <w:color w:val="000000"/>
          <w:sz w:val="24"/>
        </w:rPr>
        <w:t xml:space="preserve"> în ceea ce privește ocuparea forței de muncă, combaterea sărăciei și accesul la servicii esențiale, cum ar fi educația și asistența medicală. Sprijinirea</w:t>
      </w:r>
      <w:r>
        <w:rPr>
          <w:rFonts w:ascii="Times New Roman" w:hAnsi="Times New Roman"/>
          <w:noProof/>
          <w:sz w:val="24"/>
        </w:rPr>
        <w:t xml:space="preserve"> integrării resortisanților țărilor terțe aflați în situație de ședere legală și a persoanelor care pr</w:t>
      </w:r>
      <w:r>
        <w:rPr>
          <w:rFonts w:ascii="Times New Roman" w:hAnsi="Times New Roman"/>
          <w:noProof/>
          <w:sz w:val="24"/>
        </w:rPr>
        <w:t>ovin din familii de migranți este unul dintre elementele centrale ale propunerii de cadru financiar multianual pentru perioada 2021-2027</w:t>
      </w:r>
      <w:r>
        <w:rPr>
          <w:rStyle w:val="FootnoteReference"/>
          <w:rFonts w:ascii="Times New Roman" w:hAnsi="Times New Roman"/>
          <w:noProof/>
          <w:sz w:val="24"/>
        </w:rPr>
        <w:footnoteReference w:id="46"/>
      </w:r>
      <w:r>
        <w:rPr>
          <w:noProof/>
        </w:rPr>
        <w:t>.</w:t>
      </w:r>
      <w:r>
        <w:rPr>
          <w:rFonts w:ascii="Times New Roman" w:hAnsi="Times New Roman"/>
          <w:noProof/>
          <w:sz w:val="24"/>
        </w:rPr>
        <w:t xml:space="preserve"> Acțiunile axate în general pe fazele incipiente ale acțiunilor de integrare ar putea include cursuri de bază de învăț</w:t>
      </w:r>
      <w:r>
        <w:rPr>
          <w:rFonts w:ascii="Times New Roman" w:hAnsi="Times New Roman"/>
          <w:noProof/>
          <w:sz w:val="24"/>
        </w:rPr>
        <w:t>are a limbii, cursuri de educație civică și centre de consiliere sub forma unui ghișeu unic</w:t>
      </w:r>
      <w:r>
        <w:rPr>
          <w:rStyle w:val="FootnoteReference"/>
          <w:rFonts w:ascii="Times New Roman" w:hAnsi="Times New Roman"/>
          <w:noProof/>
          <w:sz w:val="24"/>
        </w:rPr>
        <w:footnoteReference w:id="47"/>
      </w:r>
      <w:r>
        <w:rPr>
          <w:noProof/>
        </w:rPr>
        <w:t>.</w:t>
      </w:r>
      <w:r>
        <w:rPr>
          <w:rFonts w:ascii="Times New Roman" w:hAnsi="Times New Roman"/>
          <w:noProof/>
          <w:sz w:val="24"/>
        </w:rPr>
        <w:t xml:space="preserve"> Alte tipuri de măsuri ar acoperi o integrare mai sistematică pe piața forței de muncă</w:t>
      </w:r>
      <w:r>
        <w:rPr>
          <w:rStyle w:val="FootnoteReference"/>
          <w:rFonts w:ascii="Times New Roman" w:hAnsi="Times New Roman"/>
          <w:noProof/>
          <w:sz w:val="24"/>
        </w:rPr>
        <w:footnoteReference w:id="48"/>
      </w:r>
      <w:r>
        <w:rPr>
          <w:rFonts w:ascii="Times New Roman" w:hAnsi="Times New Roman"/>
          <w:noProof/>
          <w:sz w:val="24"/>
        </w:rPr>
        <w:t xml:space="preserve"> și incluziunea socială a resortisanților țărilor terțe și a persoanelor car</w:t>
      </w:r>
      <w:r>
        <w:rPr>
          <w:rFonts w:ascii="Times New Roman" w:hAnsi="Times New Roman"/>
          <w:noProof/>
          <w:sz w:val="24"/>
        </w:rPr>
        <w:t>e provin din familii de migranți</w:t>
      </w:r>
      <w:r>
        <w:rPr>
          <w:rStyle w:val="FootnoteReference"/>
          <w:rFonts w:ascii="Times New Roman" w:hAnsi="Times New Roman"/>
          <w:noProof/>
          <w:sz w:val="24"/>
        </w:rPr>
        <w:footnoteReference w:id="49"/>
      </w:r>
      <w:r>
        <w:rPr>
          <w:noProof/>
        </w:rPr>
        <w:t>.</w:t>
      </w:r>
    </w:p>
    <w:p w:rsidR="0021727D" w:rsidRDefault="0021727D">
      <w:pPr>
        <w:jc w:val="both"/>
        <w:rPr>
          <w:rFonts w:ascii="Times New Roman" w:hAnsi="Times New Roman"/>
          <w:noProof/>
          <w:color w:val="000000"/>
          <w:sz w:val="24"/>
          <w:szCs w:val="24"/>
        </w:rPr>
      </w:pPr>
    </w:p>
    <w:p w:rsidR="0021727D" w:rsidRDefault="00406850">
      <w:pPr>
        <w:jc w:val="both"/>
        <w:rPr>
          <w:rFonts w:ascii="Times New Roman" w:hAnsi="Times New Roman"/>
          <w:noProof/>
          <w:color w:val="000000"/>
          <w:sz w:val="24"/>
          <w:szCs w:val="24"/>
        </w:rPr>
      </w:pPr>
      <w:r>
        <w:rPr>
          <w:rFonts w:ascii="Times New Roman" w:hAnsi="Times New Roman"/>
          <w:noProof/>
          <w:color w:val="000000"/>
          <w:sz w:val="24"/>
        </w:rPr>
        <w:t>Un alt aspect important este prevenirea și combaterea exploatării prin muncă, care constituie, de asemenea, un factor de atracție pentru migrația neregulamentară. Legislația UE interzice angajarea resortisanților țărilor</w:t>
      </w:r>
      <w:r>
        <w:rPr>
          <w:rFonts w:ascii="Times New Roman" w:hAnsi="Times New Roman"/>
          <w:noProof/>
          <w:color w:val="000000"/>
          <w:sz w:val="24"/>
        </w:rPr>
        <w:t xml:space="preserve"> terțe aflați în situație de ședere neregulamentară, inclusiv a celor care fac obiectul unor condiții de muncă abuzive, și prevede aplicarea unor standarde minime pentru prevenirea, detectarea și sancționarea încălcărilor.</w:t>
      </w:r>
    </w:p>
    <w:p w:rsidR="0021727D" w:rsidRDefault="0021727D">
      <w:pPr>
        <w:jc w:val="both"/>
        <w:rPr>
          <w:rFonts w:ascii="Times New Roman" w:hAnsi="Times New Roman"/>
          <w:noProof/>
          <w:color w:val="000000"/>
          <w:sz w:val="24"/>
          <w:szCs w:val="24"/>
        </w:rPr>
      </w:pPr>
    </w:p>
    <w:tbl>
      <w:tblPr>
        <w:tblStyle w:val="TableGrid"/>
        <w:tblW w:w="0" w:type="auto"/>
        <w:tblLook w:val="04A0" w:firstRow="1" w:lastRow="0" w:firstColumn="1" w:lastColumn="0" w:noHBand="0" w:noVBand="1"/>
      </w:tblPr>
      <w:tblGrid>
        <w:gridCol w:w="9286"/>
      </w:tblGrid>
      <w:tr w:rsidR="0021727D">
        <w:tc>
          <w:tcPr>
            <w:tcW w:w="9286" w:type="dxa"/>
            <w:shd w:val="clear" w:color="auto" w:fill="1F497D" w:themeFill="text2"/>
          </w:tcPr>
          <w:p w:rsidR="0021727D" w:rsidRDefault="00406850">
            <w:pPr>
              <w:shd w:val="clear" w:color="auto" w:fill="1F497D" w:themeFill="text2"/>
              <w:jc w:val="center"/>
              <w:rPr>
                <w:rFonts w:ascii="Times New Roman" w:hAnsi="Times New Roman"/>
                <w:b/>
                <w:noProof/>
                <w:color w:val="FFFFFF" w:themeColor="background1"/>
                <w:sz w:val="24"/>
                <w:szCs w:val="24"/>
              </w:rPr>
            </w:pPr>
            <w:r>
              <w:rPr>
                <w:rFonts w:ascii="Times New Roman" w:hAnsi="Times New Roman"/>
                <w:b/>
                <w:noProof/>
                <w:color w:val="FFFFFF" w:themeColor="background1"/>
                <w:sz w:val="24"/>
              </w:rPr>
              <w:t>Următoarele etape importante</w:t>
            </w:r>
          </w:p>
        </w:tc>
      </w:tr>
      <w:tr w:rsidR="0021727D">
        <w:tc>
          <w:tcPr>
            <w:tcW w:w="9286" w:type="dxa"/>
            <w:shd w:val="clear" w:color="auto" w:fill="C6D9F1" w:themeFill="text2" w:themeFillTint="33"/>
          </w:tcPr>
          <w:p w:rsidR="0021727D" w:rsidRDefault="00406850">
            <w:pPr>
              <w:numPr>
                <w:ilvl w:val="0"/>
                <w:numId w:val="68"/>
              </w:numPr>
              <w:ind w:left="360"/>
              <w:contextualSpacing/>
              <w:jc w:val="both"/>
              <w:rPr>
                <w:rFonts w:ascii="Times New Roman" w:hAnsi="Times New Roman"/>
                <w:noProof/>
                <w:sz w:val="24"/>
                <w:szCs w:val="24"/>
              </w:rPr>
            </w:pPr>
            <w:r>
              <w:rPr>
                <w:rFonts w:ascii="Times New Roman" w:hAnsi="Times New Roman"/>
                <w:noProof/>
                <w:sz w:val="24"/>
              </w:rPr>
              <w:t>Comisia va finaliza evaluarea cuprinzătoare (</w:t>
            </w:r>
            <w:r>
              <w:rPr>
                <w:rFonts w:ascii="Times New Roman" w:hAnsi="Times New Roman"/>
                <w:b/>
                <w:i/>
                <w:noProof/>
                <w:sz w:val="24"/>
              </w:rPr>
              <w:t>verificarea adecvării</w:t>
            </w:r>
            <w:r>
              <w:rPr>
                <w:rFonts w:ascii="Times New Roman" w:hAnsi="Times New Roman"/>
                <w:noProof/>
                <w:sz w:val="24"/>
              </w:rPr>
              <w:t>) a cadrului de reglementare existent în materie de migrație legală și va lansa consultarea părților interesate cu privire la rezultatele evaluării.</w:t>
            </w:r>
          </w:p>
          <w:p w:rsidR="0021727D" w:rsidRDefault="00406850">
            <w:pPr>
              <w:numPr>
                <w:ilvl w:val="0"/>
                <w:numId w:val="68"/>
              </w:numPr>
              <w:ind w:left="360"/>
              <w:contextualSpacing/>
              <w:jc w:val="both"/>
              <w:rPr>
                <w:rFonts w:ascii="Times New Roman" w:hAnsi="Times New Roman"/>
                <w:noProof/>
                <w:sz w:val="24"/>
                <w:szCs w:val="24"/>
              </w:rPr>
            </w:pPr>
            <w:r>
              <w:rPr>
                <w:rFonts w:ascii="Times New Roman" w:hAnsi="Times New Roman"/>
                <w:noProof/>
                <w:sz w:val="24"/>
              </w:rPr>
              <w:t>Statele membre, cu sprijinul UE, ar trebu</w:t>
            </w:r>
            <w:r>
              <w:rPr>
                <w:rFonts w:ascii="Times New Roman" w:hAnsi="Times New Roman"/>
                <w:noProof/>
                <w:sz w:val="24"/>
              </w:rPr>
              <w:t xml:space="preserve">i să intensifice </w:t>
            </w:r>
            <w:r>
              <w:rPr>
                <w:rFonts w:ascii="Times New Roman" w:hAnsi="Times New Roman"/>
                <w:b/>
                <w:i/>
                <w:noProof/>
                <w:sz w:val="24"/>
              </w:rPr>
              <w:t>proiectele-pilot privind migrația legală</w:t>
            </w:r>
            <w:r>
              <w:rPr>
                <w:rFonts w:ascii="Times New Roman" w:hAnsi="Times New Roman"/>
                <w:noProof/>
                <w:sz w:val="24"/>
              </w:rPr>
              <w:t xml:space="preserve">, oferind mai mult sprijin proiectelor noi și creând sinergii între proiectele lor existente. </w:t>
            </w:r>
          </w:p>
          <w:p w:rsidR="0021727D" w:rsidRDefault="00406850">
            <w:pPr>
              <w:numPr>
                <w:ilvl w:val="0"/>
                <w:numId w:val="68"/>
              </w:numPr>
              <w:ind w:left="360"/>
              <w:contextualSpacing/>
              <w:jc w:val="both"/>
              <w:rPr>
                <w:rFonts w:ascii="Times New Roman" w:hAnsi="Times New Roman"/>
                <w:noProof/>
                <w:sz w:val="24"/>
                <w:szCs w:val="24"/>
              </w:rPr>
            </w:pPr>
            <w:r>
              <w:rPr>
                <w:rFonts w:ascii="Times New Roman" w:hAnsi="Times New Roman"/>
                <w:noProof/>
                <w:sz w:val="24"/>
              </w:rPr>
              <w:t>Parlamentul European și Consiliul ar trebui să asigure, în contextul următorului cadru financiar multian</w:t>
            </w:r>
            <w:r>
              <w:rPr>
                <w:rFonts w:ascii="Times New Roman" w:hAnsi="Times New Roman"/>
                <w:noProof/>
                <w:sz w:val="24"/>
              </w:rPr>
              <w:t>ual, sprijin pentru</w:t>
            </w:r>
            <w:r>
              <w:rPr>
                <w:rFonts w:ascii="Times New Roman" w:hAnsi="Times New Roman"/>
                <w:b/>
                <w:i/>
                <w:noProof/>
                <w:sz w:val="24"/>
              </w:rPr>
              <w:t xml:space="preserve"> măsurile de integrare</w:t>
            </w:r>
            <w:r>
              <w:rPr>
                <w:rFonts w:ascii="Times New Roman" w:hAnsi="Times New Roman"/>
                <w:noProof/>
                <w:sz w:val="24"/>
              </w:rPr>
              <w:t xml:space="preserve">. </w:t>
            </w:r>
          </w:p>
          <w:p w:rsidR="0021727D" w:rsidRDefault="00406850">
            <w:pPr>
              <w:numPr>
                <w:ilvl w:val="0"/>
                <w:numId w:val="68"/>
              </w:numPr>
              <w:ind w:left="360"/>
              <w:contextualSpacing/>
              <w:jc w:val="both"/>
              <w:rPr>
                <w:rFonts w:ascii="Times New Roman" w:eastAsiaTheme="minorHAnsi" w:hAnsi="Times New Roman"/>
                <w:noProof/>
                <w:color w:val="000000"/>
                <w:sz w:val="24"/>
                <w:szCs w:val="24"/>
              </w:rPr>
            </w:pPr>
            <w:r>
              <w:rPr>
                <w:rFonts w:ascii="Times New Roman" w:hAnsi="Times New Roman"/>
                <w:noProof/>
                <w:sz w:val="24"/>
              </w:rPr>
              <w:t xml:space="preserve">UE ar trebui să profite de oportunitatea oferită de noile programe de finanțare pentru a îmbunătăți coordonarea, adaptarea competențelor și monitorizarea </w:t>
            </w:r>
            <w:r>
              <w:rPr>
                <w:rFonts w:ascii="Times New Roman" w:hAnsi="Times New Roman"/>
                <w:b/>
                <w:i/>
                <w:noProof/>
                <w:sz w:val="24"/>
              </w:rPr>
              <w:t>măsurilor de integrare</w:t>
            </w:r>
            <w:r>
              <w:rPr>
                <w:rFonts w:ascii="Times New Roman" w:hAnsi="Times New Roman"/>
                <w:noProof/>
                <w:sz w:val="24"/>
              </w:rPr>
              <w:t xml:space="preserve"> puse în aplicare de statele membre.</w:t>
            </w:r>
          </w:p>
        </w:tc>
      </w:tr>
    </w:tbl>
    <w:p w:rsidR="00406850" w:rsidRDefault="00406850" w:rsidP="00406850">
      <w:pPr>
        <w:pStyle w:val="ListParagraph"/>
        <w:jc w:val="both"/>
        <w:rPr>
          <w:rFonts w:ascii="Times New Roman" w:hAnsi="Times New Roman"/>
          <w:b/>
          <w:noProof/>
          <w:sz w:val="24"/>
        </w:rPr>
      </w:pPr>
      <w:bookmarkStart w:id="1" w:name="_GoBack"/>
      <w:bookmarkEnd w:id="1"/>
    </w:p>
    <w:p w:rsidR="00406850" w:rsidRDefault="00406850" w:rsidP="00406850">
      <w:pPr>
        <w:rPr>
          <w:noProof/>
        </w:rPr>
      </w:pPr>
      <w:r>
        <w:rPr>
          <w:noProof/>
        </w:rPr>
        <w:br w:type="page"/>
      </w:r>
    </w:p>
    <w:p w:rsidR="0021727D" w:rsidRDefault="00406850">
      <w:pPr>
        <w:pStyle w:val="ListParagraph"/>
        <w:numPr>
          <w:ilvl w:val="0"/>
          <w:numId w:val="2"/>
        </w:numPr>
        <w:jc w:val="both"/>
        <w:rPr>
          <w:rFonts w:ascii="Times New Roman" w:hAnsi="Times New Roman"/>
          <w:b/>
          <w:noProof/>
          <w:sz w:val="24"/>
          <w:szCs w:val="24"/>
        </w:rPr>
      </w:pPr>
      <w:r>
        <w:rPr>
          <w:rFonts w:ascii="Times New Roman" w:hAnsi="Times New Roman"/>
          <w:b/>
          <w:noProof/>
          <w:sz w:val="24"/>
        </w:rPr>
        <w:t>C</w:t>
      </w:r>
      <w:r>
        <w:rPr>
          <w:rFonts w:ascii="Times New Roman" w:hAnsi="Times New Roman"/>
          <w:b/>
          <w:noProof/>
          <w:sz w:val="24"/>
        </w:rPr>
        <w:t>ONCLUZIE</w:t>
      </w:r>
    </w:p>
    <w:p w:rsidR="0021727D" w:rsidRDefault="0021727D">
      <w:pPr>
        <w:jc w:val="both"/>
        <w:rPr>
          <w:rFonts w:ascii="Times New Roman" w:hAnsi="Times New Roman"/>
          <w:noProof/>
          <w:sz w:val="24"/>
          <w:szCs w:val="24"/>
        </w:rPr>
      </w:pPr>
    </w:p>
    <w:p w:rsidR="0021727D" w:rsidRDefault="00406850">
      <w:pPr>
        <w:jc w:val="both"/>
        <w:rPr>
          <w:rFonts w:ascii="Times New Roman" w:hAnsi="Times New Roman"/>
          <w:noProof/>
          <w:sz w:val="24"/>
        </w:rPr>
      </w:pPr>
      <w:r>
        <w:rPr>
          <w:rFonts w:ascii="Times New Roman" w:hAnsi="Times New Roman"/>
          <w:noProof/>
          <w:sz w:val="24"/>
        </w:rPr>
        <w:t xml:space="preserve">În condițiile unei creșteri constante a presiunii migrației și a riscului de instabilitate dincolo de granițele UE, migrația va rămâne una dintre principalele provocări cu care se confruntă UE. Acesta este motivul pentru care este esențial ca </w:t>
      </w:r>
      <w:r>
        <w:rPr>
          <w:rFonts w:ascii="Times New Roman" w:hAnsi="Times New Roman"/>
          <w:noProof/>
          <w:sz w:val="24"/>
        </w:rPr>
        <w:t>UE să dispună de instrumentele de care va avea nevoie în anii următori: un parteneriat cu țările de origine și de tranzit, resursele financiare necesare și un cadru legislativ și o capacitate operațională care să reflecte în mod corespunzător echilibrul di</w:t>
      </w:r>
      <w:r>
        <w:rPr>
          <w:rFonts w:ascii="Times New Roman" w:hAnsi="Times New Roman"/>
          <w:noProof/>
          <w:sz w:val="24"/>
        </w:rPr>
        <w:t>ntre solidaritate și responsabilitate, care trebuie să se afle în centrul abordării cuprinzătoare a UE. În opinia Comisiei, adoptarea propunerilor sale care vizează reformarea sistemului european comun de azil și o mai bună funcționare a poliției de fronti</w:t>
      </w:r>
      <w:r>
        <w:rPr>
          <w:rFonts w:ascii="Times New Roman" w:hAnsi="Times New Roman"/>
          <w:noProof/>
          <w:sz w:val="24"/>
        </w:rPr>
        <w:t>eră și a gărzii de coastă la nivel european, precum și asigurarea unei finanțări suficiente în următorul cadru financiar multianual – menținând în permanență nivelul de ambiție – reprezintă calea de urmat pentru ca UE să se ridice la înălțimea obiectivelor</w:t>
      </w:r>
      <w:r>
        <w:rPr>
          <w:rFonts w:ascii="Times New Roman" w:hAnsi="Times New Roman"/>
          <w:noProof/>
          <w:sz w:val="24"/>
        </w:rPr>
        <w:t xml:space="preserve"> propuse.</w:t>
      </w:r>
    </w:p>
    <w:p w:rsidR="0021727D" w:rsidRDefault="0021727D">
      <w:pPr>
        <w:jc w:val="both"/>
        <w:rPr>
          <w:rFonts w:ascii="Times New Roman" w:hAnsi="Times New Roman"/>
          <w:noProof/>
          <w:sz w:val="24"/>
        </w:rPr>
      </w:pPr>
    </w:p>
    <w:p w:rsidR="0021727D" w:rsidRDefault="00406850">
      <w:pPr>
        <w:pStyle w:val="ListParagraph"/>
        <w:ind w:left="0"/>
        <w:jc w:val="both"/>
        <w:rPr>
          <w:rFonts w:ascii="Times New Roman" w:hAnsi="Times New Roman"/>
          <w:noProof/>
          <w:sz w:val="24"/>
        </w:rPr>
      </w:pPr>
      <w:r>
        <w:rPr>
          <w:rFonts w:ascii="Times New Roman" w:hAnsi="Times New Roman"/>
          <w:noProof/>
          <w:sz w:val="24"/>
        </w:rPr>
        <w:t>Este absolut necesară o abordare globală, care să cuprindă acțiuni cu parteneri din afara UE, la frontierele externe, și în interiorul UE. Există o corelație clară între existența unor politici robuste privind frontierele și migrația și capacita</w:t>
      </w:r>
      <w:r>
        <w:rPr>
          <w:rFonts w:ascii="Times New Roman" w:hAnsi="Times New Roman"/>
          <w:noProof/>
          <w:sz w:val="24"/>
        </w:rPr>
        <w:t>tea noastră de a prezerva avantajele spațiului Schengen. În prezent, șase țări din zona Schengen efectuează controale la frontierele interne</w:t>
      </w:r>
      <w:r>
        <w:rPr>
          <w:rStyle w:val="FootnoteReference"/>
          <w:rFonts w:ascii="Times New Roman" w:hAnsi="Times New Roman"/>
          <w:noProof/>
          <w:sz w:val="24"/>
        </w:rPr>
        <w:footnoteReference w:id="50"/>
      </w:r>
      <w:r>
        <w:rPr>
          <w:noProof/>
        </w:rPr>
        <w:t>.</w:t>
      </w:r>
      <w:r>
        <w:rPr>
          <w:rFonts w:ascii="Times New Roman" w:hAnsi="Times New Roman"/>
          <w:noProof/>
          <w:sz w:val="24"/>
        </w:rPr>
        <w:t xml:space="preserve"> Comisia a stabilit modul în care se poate intensifica securitatea prin efectuarea de verificări proporționale de </w:t>
      </w:r>
      <w:r>
        <w:rPr>
          <w:rFonts w:ascii="Times New Roman" w:hAnsi="Times New Roman"/>
          <w:noProof/>
          <w:sz w:val="24"/>
        </w:rPr>
        <w:t xml:space="preserve">către poliție și prin cooperarea polițienească, fără controale la frontiere, și a propus modificări ale normelor privind </w:t>
      </w:r>
      <w:r>
        <w:rPr>
          <w:rFonts w:ascii="Times New Roman" w:hAnsi="Times New Roman"/>
          <w:noProof/>
          <w:color w:val="000000"/>
          <w:sz w:val="24"/>
        </w:rPr>
        <w:t>reintroducerea temporară a controalelor la frontierele interne</w:t>
      </w:r>
      <w:r>
        <w:rPr>
          <w:rStyle w:val="FootnoteReference"/>
          <w:rFonts w:ascii="Times New Roman" w:hAnsi="Times New Roman"/>
          <w:noProof/>
          <w:sz w:val="24"/>
        </w:rPr>
        <w:footnoteReference w:id="51"/>
      </w:r>
      <w:r>
        <w:rPr>
          <w:noProof/>
        </w:rPr>
        <w:t>.</w:t>
      </w:r>
      <w:r>
        <w:rPr>
          <w:rFonts w:ascii="Times New Roman" w:hAnsi="Times New Roman"/>
          <w:noProof/>
          <w:sz w:val="24"/>
        </w:rPr>
        <w:t xml:space="preserve"> Având în vedere toate eforturile depuse pentru a consolida gestionarea</w:t>
      </w:r>
      <w:r>
        <w:rPr>
          <w:rFonts w:ascii="Times New Roman" w:hAnsi="Times New Roman"/>
          <w:noProof/>
          <w:sz w:val="24"/>
        </w:rPr>
        <w:t xml:space="preserve"> frontierelor externe și ținând seama de scăderea numărului de sosiri neregulamentare, a sosit momentul să facem un bilanț al situației în vederea eliminării controalelor la frontierele interne și a revenirii la un spațiu Schengen pe deplin funcțional. </w:t>
      </w:r>
    </w:p>
    <w:p w:rsidR="0021727D" w:rsidRDefault="0021727D">
      <w:pPr>
        <w:jc w:val="both"/>
        <w:rPr>
          <w:rFonts w:ascii="Times New Roman" w:hAnsi="Times New Roman"/>
          <w:noProof/>
          <w:color w:val="000000"/>
          <w:sz w:val="24"/>
          <w:szCs w:val="24"/>
        </w:rPr>
      </w:pPr>
    </w:p>
    <w:p w:rsidR="0021727D" w:rsidRDefault="00406850">
      <w:pPr>
        <w:pStyle w:val="ListParagraph"/>
        <w:ind w:left="0"/>
        <w:jc w:val="both"/>
        <w:rPr>
          <w:rFonts w:ascii="Times New Roman" w:hAnsi="Times New Roman"/>
          <w:noProof/>
          <w:color w:val="000000"/>
          <w:sz w:val="24"/>
          <w:szCs w:val="24"/>
        </w:rPr>
      </w:pPr>
      <w:r>
        <w:rPr>
          <w:rFonts w:ascii="Times New Roman" w:hAnsi="Times New Roman"/>
          <w:noProof/>
          <w:color w:val="000000"/>
          <w:sz w:val="24"/>
        </w:rPr>
        <w:t>La patru ani de la adoptarea Agendei europene privind migrația, se constată că situația necesită luarea de măsuri susținute și ferme, care să acopere toate componentele abordării cuprinzătoare. În concluzie, acțiunea și eforturile comune ale statelor membr</w:t>
      </w:r>
      <w:r>
        <w:rPr>
          <w:rFonts w:ascii="Times New Roman" w:hAnsi="Times New Roman"/>
          <w:noProof/>
          <w:color w:val="000000"/>
          <w:sz w:val="24"/>
        </w:rPr>
        <w:t>e și ale UE, în strânsă cooperare cu partenerii din afara UE, au dat rezultate; aceasta reprezintă singura modalitate de asigurare a unei mai bune gestionări a migrației și a faptului că valorile UE rămân piatra de temelie a politicii noastre în domeniul m</w:t>
      </w:r>
      <w:r>
        <w:rPr>
          <w:rFonts w:ascii="Times New Roman" w:hAnsi="Times New Roman"/>
          <w:noProof/>
          <w:color w:val="000000"/>
          <w:sz w:val="24"/>
        </w:rPr>
        <w:t>igrației. Este ceea ce așteaptă cetățenii europeni de la Uniunea Europeană.</w:t>
      </w:r>
    </w:p>
    <w:sectPr w:rsidR="0021727D">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27D" w:rsidRDefault="00406850">
      <w:r>
        <w:separator/>
      </w:r>
    </w:p>
  </w:endnote>
  <w:endnote w:type="continuationSeparator" w:id="0">
    <w:p w:rsidR="0021727D" w:rsidRDefault="00406850">
      <w:r>
        <w:continuationSeparator/>
      </w:r>
    </w:p>
  </w:endnote>
  <w:endnote w:type="continuationNotice" w:id="1">
    <w:p w:rsidR="0021727D" w:rsidRDefault="00217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7D" w:rsidRDefault="00217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7D" w:rsidRDefault="00406850">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7D" w:rsidRDefault="0021727D">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7D" w:rsidRDefault="002172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144033853"/>
      <w:docPartObj>
        <w:docPartGallery w:val="Page Numbers (Bottom of Page)"/>
        <w:docPartUnique/>
      </w:docPartObj>
    </w:sdtPr>
    <w:sdtEndPr>
      <w:rPr>
        <w:noProof/>
      </w:rPr>
    </w:sdtEndPr>
    <w:sdtContent>
      <w:p w:rsidR="0021727D" w:rsidRDefault="00406850">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20</w:t>
        </w:r>
        <w:r>
          <w:rPr>
            <w:rFonts w:ascii="Times New Roman" w:hAnsi="Times New Roman"/>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7D" w:rsidRDefault="00217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27D" w:rsidRDefault="00406850">
      <w:r>
        <w:separator/>
      </w:r>
    </w:p>
  </w:footnote>
  <w:footnote w:type="continuationSeparator" w:id="0">
    <w:p w:rsidR="0021727D" w:rsidRDefault="00406850">
      <w:r>
        <w:continuationSeparator/>
      </w:r>
    </w:p>
  </w:footnote>
  <w:footnote w:type="continuationNotice" w:id="1">
    <w:p w:rsidR="0021727D" w:rsidRDefault="0021727D"/>
  </w:footnote>
  <w:footnote w:id="2">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COM(2015) 240 final din 13.5.2015.</w:t>
      </w:r>
    </w:p>
  </w:footnote>
  <w:footnote w:id="3">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Pe lângă sprijinul acordat în cadrul actualelor programe de dezvoltare ale UE.</w:t>
      </w:r>
    </w:p>
  </w:footnote>
  <w:footnote w:id="4">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Statele membre transmit, în prezent, rapoartele de punere în aplicare, care includ acțiunile desfășurate în 2018. Un număr mare de refugiați și migranți legali au beneficiat, de asemenea, de programe de integrare în cadrul Fondului social european și al Fo</w:t>
      </w:r>
      <w:r>
        <w:rPr>
          <w:rFonts w:ascii="Times New Roman" w:hAnsi="Times New Roman"/>
          <w:sz w:val="18"/>
        </w:rPr>
        <w:t xml:space="preserve">ndului european de dezvoltare regională. </w:t>
      </w:r>
    </w:p>
  </w:footnote>
  <w:footnote w:id="5">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color w:val="000000"/>
          <w:sz w:val="18"/>
        </w:rPr>
        <w:t>Persoanele strămutate forțat sunt fie refugiați, fie persoane strămutate în interiorul țării. Se acordă sprijin și comunităților-gazdă ale acestora.</w:t>
      </w:r>
      <w:r>
        <w:rPr>
          <w:rFonts w:ascii="Times New Roman" w:hAnsi="Times New Roman"/>
          <w:sz w:val="18"/>
        </w:rPr>
        <w:t xml:space="preserve"> Ajutorul umanitar al UE este acordat în conformitate cu princip</w:t>
      </w:r>
      <w:r>
        <w:rPr>
          <w:rFonts w:ascii="Times New Roman" w:hAnsi="Times New Roman"/>
          <w:sz w:val="18"/>
        </w:rPr>
        <w:t>iile umanitare ale umanității, neutralității, imparțialității și independenței.</w:t>
      </w:r>
    </w:p>
  </w:footnote>
  <w:footnote w:id="6">
    <w:p w:rsidR="0021727D" w:rsidRDefault="00406850">
      <w:pPr>
        <w:pStyle w:val="FootnoteText"/>
        <w:ind w:left="284" w:hanging="284"/>
      </w:pPr>
      <w:r>
        <w:rPr>
          <w:rStyle w:val="FootnoteReference"/>
          <w:rFonts w:ascii="Times New Roman" w:hAnsi="Times New Roman"/>
        </w:rPr>
        <w:footnoteRef/>
      </w:r>
      <w:r>
        <w:tab/>
      </w:r>
      <w:r>
        <w:rPr>
          <w:rFonts w:ascii="Times New Roman" w:hAnsi="Times New Roman"/>
          <w:color w:val="000000"/>
          <w:sz w:val="18"/>
        </w:rPr>
        <w:t>Aceste eforturi includ acordarea în mod direct, exclusiv din bugetul UE, a unui sprijin financiar în valoare de 13 miliarde EUR, precum și acțiuni desfășurate prin intermediu</w:t>
      </w:r>
      <w:r>
        <w:rPr>
          <w:rFonts w:ascii="Times New Roman" w:hAnsi="Times New Roman"/>
          <w:color w:val="000000"/>
          <w:sz w:val="18"/>
        </w:rPr>
        <w:t>l fondurilor fiduciare ale UE și al Instrumentului pentru refugiații din Turcia.</w:t>
      </w:r>
    </w:p>
  </w:footnote>
  <w:footnote w:id="7">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Toate cifrele transmise de Agenția Europeană pentru Poliția de Frontieră și Garda de Coastă, cu excepția cazului în care se prevede altfel.</w:t>
      </w:r>
    </w:p>
  </w:footnote>
  <w:footnote w:id="8">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Date transmise de autoritățile </w:t>
      </w:r>
      <w:r>
        <w:rPr>
          <w:rFonts w:ascii="Times New Roman" w:hAnsi="Times New Roman"/>
          <w:sz w:val="18"/>
        </w:rPr>
        <w:t>spaniole.</w:t>
      </w:r>
    </w:p>
  </w:footnote>
  <w:footnote w:id="9">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Date transmise de Înaltul Comisariat al Națiunilor Unite pentru Refugiați (UNHCR).</w:t>
      </w:r>
    </w:p>
  </w:footnote>
  <w:footnote w:id="10">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Începând din 21 martie 2016, au fost returnați din Grecia în Turcia 1 836 de migranți în temeiul Declarației UE-Turcia și 601 migranți în temeiul protocolului </w:t>
      </w:r>
      <w:r>
        <w:rPr>
          <w:rFonts w:ascii="Times New Roman" w:hAnsi="Times New Roman"/>
          <w:sz w:val="18"/>
        </w:rPr>
        <w:t>bilateral Grecia-Turcia.</w:t>
      </w:r>
    </w:p>
  </w:footnote>
  <w:footnote w:id="11">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Date oferite de Organizația Internațională pentru Migrație.</w:t>
      </w:r>
    </w:p>
  </w:footnote>
  <w:footnote w:id="12">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Datele preliminare pentru 2018 oferite de Biroul European de Sprijin pentru Azil.</w:t>
      </w:r>
    </w:p>
  </w:footnote>
  <w:footnote w:id="13">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Germania rămâne principala țară de destinație, în ciuda reducerii cu o cincime a nu</w:t>
      </w:r>
      <w:r>
        <w:rPr>
          <w:rFonts w:ascii="Times New Roman" w:hAnsi="Times New Roman"/>
          <w:sz w:val="18"/>
        </w:rPr>
        <w:t>mărului de cereri, în timp ce Franța și Spania s-au confruntat cu o creștere substanțială a numărului de cereri.</w:t>
      </w:r>
    </w:p>
  </w:footnote>
  <w:footnote w:id="14">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„Rezultat pozitiv” înseamnă existența unei/unor concordanțe prin compararea datelor dactiloscopice înregistrate în banca de date cu cele tran</w:t>
      </w:r>
      <w:r>
        <w:rPr>
          <w:rFonts w:ascii="Times New Roman" w:hAnsi="Times New Roman"/>
          <w:sz w:val="18"/>
        </w:rPr>
        <w:t>smise de un stat membru. Numărul de rezultate pozitive nu corespunde numărului de persoane.</w:t>
      </w:r>
    </w:p>
  </w:footnote>
  <w:footnote w:id="15">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Ț</w:t>
      </w:r>
      <w:r>
        <w:rPr>
          <w:rFonts w:ascii="Times New Roman" w:hAnsi="Times New Roman"/>
          <w:sz w:val="18"/>
        </w:rPr>
        <w:t xml:space="preserve">ările cu cel mai mare număr de solicitanților de azil aflați în situație de ședere neregulamentară înregistrați anterior într-un alt stat membru au fost, în </w:t>
      </w:r>
      <w:r>
        <w:rPr>
          <w:rFonts w:ascii="Times New Roman" w:hAnsi="Times New Roman"/>
          <w:sz w:val="18"/>
        </w:rPr>
        <w:t>principal, Belgia și Germania.</w:t>
      </w:r>
    </w:p>
  </w:footnote>
  <w:footnote w:id="16">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În plus, </w:t>
      </w:r>
      <w:r>
        <w:rPr>
          <w:rFonts w:ascii="Times New Roman" w:hAnsi="Times New Roman"/>
          <w:color w:val="000000"/>
          <w:sz w:val="18"/>
        </w:rPr>
        <w:t>s-au alocat14,5 milioane EUR pentru îmbunătățirea guvernanței în domeniul migrației la nivel regional, care vizează migranții, persoanele returnate și cetățenii marocani care locuiesc în străinătate. Valoarea tota</w:t>
      </w:r>
      <w:r>
        <w:rPr>
          <w:rFonts w:ascii="Times New Roman" w:hAnsi="Times New Roman"/>
          <w:color w:val="000000"/>
          <w:sz w:val="18"/>
        </w:rPr>
        <w:t>lă a programelor în curs este de 232 de milioane EUR.</w:t>
      </w:r>
    </w:p>
  </w:footnote>
  <w:footnote w:id="17">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Potrivit datelor aplicației de raportare a operațiunilor comune (Joint Operations Reporting Application - JORA) a poliției de frontieră și a gărzii de coastă la nivel european, autoritățile marocane a</w:t>
      </w:r>
      <w:r>
        <w:rPr>
          <w:rFonts w:ascii="Times New Roman" w:hAnsi="Times New Roman"/>
          <w:sz w:val="18"/>
        </w:rPr>
        <w:t>u împiedicat, în 2018, plecarea pe mare din Maroc a 15 000 de migranți aflați în situație neregulamentară. Autoritățile marocane desfășoară, de asemenea, acțiuni preventive terestre. Ministerul de Interne marocan estimează că în 2018 a fost împiedicată ple</w:t>
      </w:r>
      <w:r>
        <w:rPr>
          <w:rFonts w:ascii="Times New Roman" w:hAnsi="Times New Roman"/>
          <w:sz w:val="18"/>
        </w:rPr>
        <w:t>carea din Maroc a 88 761 de migranți.</w:t>
      </w:r>
    </w:p>
  </w:footnote>
  <w:footnote w:id="18">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 (2015) 7293 final din 20.10.2015.</w:t>
      </w:r>
    </w:p>
  </w:footnote>
  <w:footnote w:id="19">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color w:val="000000"/>
          <w:sz w:val="18"/>
        </w:rPr>
        <w:t>Acest program vine în completarea programelor finanțate de UE care sprijină guvernanța în materie de migrație, gestionarea frontierelor și combaterea traficului de persoane, a re</w:t>
      </w:r>
      <w:r>
        <w:rPr>
          <w:rFonts w:ascii="Times New Roman" w:hAnsi="Times New Roman"/>
          <w:color w:val="000000"/>
          <w:sz w:val="18"/>
        </w:rPr>
        <w:t>ț</w:t>
      </w:r>
      <w:r>
        <w:rPr>
          <w:rFonts w:ascii="Times New Roman" w:hAnsi="Times New Roman"/>
          <w:color w:val="000000"/>
          <w:sz w:val="18"/>
        </w:rPr>
        <w:t>elelor infracționale și a actelor de terorism.</w:t>
      </w:r>
    </w:p>
  </w:footnote>
  <w:footnote w:id="20">
    <w:p w:rsidR="0021727D" w:rsidRDefault="00406850">
      <w:pPr>
        <w:pStyle w:val="FootnoteText"/>
        <w:ind w:left="284" w:hanging="284"/>
        <w:jc w:val="both"/>
        <w:rPr>
          <w:sz w:val="18"/>
          <w:szCs w:val="18"/>
        </w:rPr>
      </w:pPr>
      <w:r>
        <w:rPr>
          <w:rStyle w:val="FootnoteReference"/>
          <w:rFonts w:ascii="Times New Roman" w:hAnsi="Times New Roman"/>
          <w:sz w:val="18"/>
        </w:rPr>
        <w:footnoteRef/>
      </w:r>
      <w:r>
        <w:rPr>
          <w:sz w:val="18"/>
        </w:rPr>
        <w:t xml:space="preserve"> </w:t>
      </w:r>
      <w:r>
        <w:tab/>
      </w:r>
      <w:r>
        <w:rPr>
          <w:rFonts w:ascii="Times New Roman" w:hAnsi="Times New Roman"/>
          <w:sz w:val="18"/>
        </w:rPr>
        <w:t>Acest aspect va fi discutat în cadrul următoarei reuniuni a Comitetului Instrumentului european de vecinătate, care va avea loc în aprilie 2019.</w:t>
      </w:r>
    </w:p>
  </w:footnote>
  <w:footnote w:id="21">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Conform estimării Înaltului Comisariat al Națiunilor Unite</w:t>
      </w:r>
      <w:r>
        <w:rPr>
          <w:rFonts w:ascii="Times New Roman" w:hAnsi="Times New Roman"/>
          <w:sz w:val="18"/>
        </w:rPr>
        <w:t xml:space="preserve"> pentru Refugiați și a Organizației Internaționale pentru Migrație.</w:t>
      </w:r>
    </w:p>
  </w:footnote>
  <w:footnote w:id="22">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Cu relocare ulterioară în Belgia, Canada, Finlanda, Franța, Germania, Țările de Jos, Norvegia, Suedia, Elveția, Regatul Unit și Statele Unite. Dacă se ține seama de numărul de evacuări s</w:t>
      </w:r>
      <w:r>
        <w:rPr>
          <w:rFonts w:ascii="Times New Roman" w:hAnsi="Times New Roman"/>
          <w:sz w:val="18"/>
        </w:rPr>
        <w:t>uplimentare ale UNHCR către Italia și Centrul de Tranzit în Regim de Urgență din România, numărul total al persoanelor evacuate este de 3 175.</w:t>
      </w:r>
    </w:p>
  </w:footnote>
  <w:footnote w:id="23">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Sprijinul acordat recent a inclus extinderea serviciilor de interpretare, îmbunătățirea capacității de primire </w:t>
      </w:r>
      <w:r>
        <w:rPr>
          <w:rFonts w:ascii="Times New Roman" w:hAnsi="Times New Roman"/>
          <w:sz w:val="18"/>
        </w:rPr>
        <w:t>ș</w:t>
      </w:r>
      <w:r>
        <w:rPr>
          <w:rFonts w:ascii="Times New Roman" w:hAnsi="Times New Roman"/>
          <w:sz w:val="18"/>
        </w:rPr>
        <w:t xml:space="preserve">i detașarea de medici militari, precum și adoptarea planificării financiare pentru 2019 pentru a oferi condiții corespunzătoare de primire și a asigura sprijinul pe continent (a se vedea nota de subsol următoare). </w:t>
      </w:r>
    </w:p>
  </w:footnote>
  <w:footnote w:id="24">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noProof/>
          <w:sz w:val="18"/>
        </w:rPr>
        <w:t>Cel mai recent sprijin, acordat în dec</w:t>
      </w:r>
      <w:r>
        <w:rPr>
          <w:rFonts w:ascii="Times New Roman" w:hAnsi="Times New Roman"/>
          <w:noProof/>
          <w:sz w:val="18"/>
        </w:rPr>
        <w:t>embrie 2018, a inclus suma de 190 de milioane EUR pentru asigurarea funcționării Programului de sprijin de urgență pentru integrare și cazare (ESTIA), gestionat de Înaltul Comisariat al Națiunilor Unite pentru Refugiați (UNCHR), și suma de 61 de milioane E</w:t>
      </w:r>
      <w:r>
        <w:rPr>
          <w:rFonts w:ascii="Times New Roman" w:hAnsi="Times New Roman"/>
          <w:noProof/>
          <w:sz w:val="18"/>
        </w:rPr>
        <w:t>UR pentru continuarea programului de asistență la fața locului în centrele de primire din zona continentală, gestionat de Organizația Internațională pentru Migrație (OIM) și Fondul Națiunilor Unite pentru Copii (UNICEF). Activarea instrumentului de sprijin</w:t>
      </w:r>
      <w:r>
        <w:rPr>
          <w:rFonts w:ascii="Times New Roman" w:hAnsi="Times New Roman"/>
          <w:noProof/>
          <w:sz w:val="18"/>
        </w:rPr>
        <w:t xml:space="preserve"> de urgență se va încheia în martie 2019. Continuarea în 2019 a principalelor proiecte în Grecia este sprijinită din alte surse de finanțare ale UE.</w:t>
      </w:r>
    </w:p>
  </w:footnote>
  <w:footnote w:id="25">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Printre grupurile importante se numără persoanele vulnerabile, inclusiv minorii neînsoțiți, cetățenii sir</w:t>
      </w:r>
      <w:r>
        <w:rPr>
          <w:rFonts w:ascii="Times New Roman" w:hAnsi="Times New Roman"/>
          <w:sz w:val="18"/>
        </w:rPr>
        <w:t>ieni și cetățenii care provin din țările cu o rată medie scăzută de recunoaștere a cererilor de azil, pe baza statisticilor naționale oficiale.</w:t>
      </w:r>
    </w:p>
  </w:footnote>
  <w:footnote w:id="26">
    <w:p w:rsidR="0021727D" w:rsidRDefault="00406850">
      <w:pPr>
        <w:pStyle w:val="FootnoteText"/>
        <w:ind w:left="284" w:hanging="284"/>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 (2018) 798 final, 4.12.2018.</w:t>
      </w:r>
    </w:p>
  </w:footnote>
  <w:footnote w:id="27">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 (2016) 385 final din 7.6.2016.</w:t>
      </w:r>
    </w:p>
  </w:footnote>
  <w:footnote w:id="28">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color w:val="000000"/>
          <w:sz w:val="18"/>
        </w:rPr>
        <w:t>Valoarea totală a proiectelor aprobate</w:t>
      </w:r>
      <w:r>
        <w:rPr>
          <w:rFonts w:ascii="Times New Roman" w:hAnsi="Times New Roman"/>
          <w:color w:val="000000"/>
          <w:sz w:val="18"/>
        </w:rPr>
        <w:t xml:space="preserve"> de comitetele operaționale este de aproximativ </w:t>
      </w:r>
      <w:r>
        <w:rPr>
          <w:rFonts w:ascii="Times New Roman" w:hAnsi="Times New Roman"/>
          <w:sz w:val="18"/>
        </w:rPr>
        <w:t xml:space="preserve">3,6 </w:t>
      </w:r>
      <w:r>
        <w:rPr>
          <w:rFonts w:ascii="Times New Roman" w:hAnsi="Times New Roman"/>
          <w:color w:val="000000"/>
          <w:sz w:val="18"/>
        </w:rPr>
        <w:t>miliarde EUR. Până în prezent, au fost semnate 393</w:t>
      </w:r>
      <w:r>
        <w:rPr>
          <w:rFonts w:ascii="Times New Roman" w:hAnsi="Times New Roman"/>
          <w:sz w:val="18"/>
        </w:rPr>
        <w:t xml:space="preserve"> de contracte, în valoare totală de peste 2,6 miliarde EUR.</w:t>
      </w:r>
    </w:p>
  </w:footnote>
  <w:footnote w:id="29">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Valoarea finală a acestor garanții și repartizarea lor finală trebuie definite prin acorduri</w:t>
      </w:r>
      <w:r>
        <w:rPr>
          <w:rFonts w:ascii="Times New Roman" w:hAnsi="Times New Roman"/>
          <w:sz w:val="18"/>
        </w:rPr>
        <w:t xml:space="preserve"> de garantare care urmează să fie semnate de băncile de dezvoltare și de Comisia Europeană. </w:t>
      </w:r>
    </w:p>
  </w:footnote>
  <w:footnote w:id="30">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Documentul 15250/18 din 6.12.2018.</w:t>
      </w:r>
    </w:p>
  </w:footnote>
  <w:footnote w:id="31">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 (2015) 285 final din 27.5.2015.</w:t>
      </w:r>
    </w:p>
  </w:footnote>
  <w:footnote w:id="32">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Finanțate din Fondul pentru azil, migrație și integrare.</w:t>
      </w:r>
    </w:p>
  </w:footnote>
  <w:footnote w:id="33">
    <w:p w:rsidR="0021727D" w:rsidRDefault="00406850">
      <w:pPr>
        <w:pStyle w:val="FootnoteText"/>
        <w:ind w:left="284" w:hanging="284"/>
        <w:rPr>
          <w:rFonts w:ascii="Times New Roman" w:hAnsi="Times New Roman"/>
          <w:sz w:val="18"/>
          <w:lang w:val="it-IT"/>
        </w:rPr>
      </w:pPr>
      <w:r>
        <w:rPr>
          <w:rStyle w:val="FootnoteReference"/>
          <w:rFonts w:ascii="Times New Roman" w:hAnsi="Times New Roman"/>
          <w:sz w:val="18"/>
        </w:rPr>
        <w:footnoteRef/>
      </w:r>
      <w:r>
        <w:rPr>
          <w:rFonts w:ascii="Times New Roman" w:hAnsi="Times New Roman"/>
          <w:sz w:val="18"/>
        </w:rPr>
        <w:t xml:space="preserve"> </w:t>
      </w:r>
      <w:r>
        <w:tab/>
      </w:r>
      <w:r>
        <w:rPr>
          <w:rFonts w:ascii="Times New Roman" w:hAnsi="Times New Roman"/>
          <w:sz w:val="18"/>
        </w:rPr>
        <w:t xml:space="preserve">Etiopia, Iordania, Liban, </w:t>
      </w:r>
      <w:r>
        <w:rPr>
          <w:rFonts w:ascii="Times New Roman" w:hAnsi="Times New Roman"/>
          <w:sz w:val="18"/>
        </w:rPr>
        <w:t>Mali, Maroc, Niger, Nigeria, Pakistan, Senegal, Serbia, Sudan, Tunisia.</w:t>
      </w:r>
    </w:p>
  </w:footnote>
  <w:footnote w:id="34">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 (2018) 303 final din 16.5.2018.</w:t>
      </w:r>
      <w:r>
        <w:tab/>
      </w:r>
    </w:p>
  </w:footnote>
  <w:footnote w:id="35">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Organizate în cadrul ciclului de politici ale UE/EMPACT (Platforma multidisciplinară europeană împotriva amenințărilor infracționale). </w:t>
      </w:r>
    </w:p>
  </w:footnote>
  <w:footnote w:id="36">
    <w:p w:rsidR="0021727D" w:rsidRDefault="00406850">
      <w:pPr>
        <w:pStyle w:val="FootnoteText"/>
        <w:ind w:left="284" w:hanging="284"/>
        <w:jc w:val="both"/>
      </w:pPr>
      <w:r>
        <w:rPr>
          <w:rStyle w:val="FootnoteReference"/>
          <w:rFonts w:ascii="Times New Roman" w:hAnsi="Times New Roman"/>
          <w:sz w:val="18"/>
        </w:rPr>
        <w:footnoteRef/>
      </w:r>
      <w:r>
        <w:tab/>
      </w:r>
      <w:r>
        <w:rPr>
          <w:rFonts w:ascii="Times New Roman" w:hAnsi="Times New Roman"/>
          <w:sz w:val="18"/>
        </w:rPr>
        <w:t>COM(2</w:t>
      </w:r>
      <w:r>
        <w:rPr>
          <w:rFonts w:ascii="Times New Roman" w:hAnsi="Times New Roman"/>
          <w:sz w:val="18"/>
        </w:rPr>
        <w:t>017) 200 și C(2017) 1600</w:t>
      </w:r>
      <w:r>
        <w:rPr>
          <w:rFonts w:ascii="Times New Roman" w:hAnsi="Times New Roman"/>
          <w:color w:val="000000"/>
          <w:sz w:val="18"/>
        </w:rPr>
        <w:t>, care se bazează pe</w:t>
      </w:r>
      <w:r>
        <w:rPr>
          <w:rFonts w:ascii="Times New Roman" w:hAnsi="Times New Roman"/>
          <w:sz w:val="18"/>
        </w:rPr>
        <w:t xml:space="preserve"> COM(2015) 453</w:t>
      </w:r>
      <w:r>
        <w:rPr>
          <w:rFonts w:ascii="Times New Roman" w:hAnsi="Times New Roman"/>
          <w:color w:val="000000"/>
          <w:sz w:val="18"/>
        </w:rPr>
        <w:t xml:space="preserve">. </w:t>
      </w:r>
    </w:p>
  </w:footnote>
  <w:footnote w:id="37">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Regulamentul (UE) 2018/1861 din 28 noiembrie 2018 privind instituirea, funcționarea și utilizarea Sistemului de informații Schengen (SIS) în domeniul verificărilor la frontiere și Regulamentul </w:t>
      </w:r>
      <w:r>
        <w:rPr>
          <w:rFonts w:ascii="Times New Roman" w:hAnsi="Times New Roman"/>
          <w:sz w:val="18"/>
        </w:rPr>
        <w:t>(UE) 2018/1860 din 28 noiembrie 2018 privind utilizarea Sistemului de informații Schengen pentru returnarea resortisanților țărilor terțe aflați în situație de ședere ilegală.</w:t>
      </w:r>
    </w:p>
  </w:footnote>
  <w:footnote w:id="38">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La aceasta va contribui și noua propunere privind poliția de frontieră și gard</w:t>
      </w:r>
      <w:r>
        <w:rPr>
          <w:rFonts w:ascii="Times New Roman" w:hAnsi="Times New Roman"/>
          <w:sz w:val="18"/>
        </w:rPr>
        <w:t>a de coastă la nivel european [COM (2018) 631 final, 12.9.2018].</w:t>
      </w:r>
    </w:p>
  </w:footnote>
  <w:footnote w:id="39">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COM (2018) 634 final, 9.12.2018.</w:t>
      </w:r>
    </w:p>
  </w:footnote>
  <w:footnote w:id="40">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Conform principiului nereturnării, o persoană nu poate fi returnată într-o țară în care acea persoană are motive să se teamă că va fi persecutată. </w:t>
      </w:r>
    </w:p>
  </w:footnote>
  <w:footnote w:id="41">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Surs</w:t>
      </w:r>
      <w:r>
        <w:rPr>
          <w:rFonts w:ascii="Times New Roman" w:hAnsi="Times New Roman"/>
          <w:sz w:val="18"/>
        </w:rPr>
        <w:t>e: Agenția Europeană pentru Poliția de Frontieră și Garda de Coastă și operația SOPHIA.</w:t>
      </w:r>
    </w:p>
  </w:footnote>
  <w:footnote w:id="42">
    <w:p w:rsidR="0021727D" w:rsidRDefault="00406850">
      <w:pPr>
        <w:pStyle w:val="FootnoteText"/>
        <w:ind w:left="284" w:hanging="284"/>
        <w:rPr>
          <w:rFonts w:ascii="Times New Roman" w:hAnsi="Times New Roman" w:cs="Times New Roman"/>
        </w:rPr>
      </w:pPr>
      <w:r>
        <w:rPr>
          <w:rStyle w:val="FootnoteReference"/>
          <w:rFonts w:ascii="Times New Roman" w:hAnsi="Times New Roman"/>
        </w:rPr>
        <w:footnoteRef/>
      </w:r>
      <w:r>
        <w:tab/>
      </w:r>
      <w:r>
        <w:rPr>
          <w:rFonts w:ascii="Times New Roman" w:hAnsi="Times New Roman"/>
          <w:sz w:val="18"/>
        </w:rPr>
        <w:t>COM (2018) 798 final, 4.12.2018.</w:t>
      </w:r>
    </w:p>
  </w:footnote>
  <w:footnote w:id="43">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În cadrul programului „Transferuri condiționate de numerar pentru educație”.</w:t>
      </w:r>
    </w:p>
  </w:footnote>
  <w:footnote w:id="44">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Bugetul Fondului fiduciar, la care contribuie 22 de </w:t>
      </w:r>
      <w:r>
        <w:rPr>
          <w:rFonts w:ascii="Times New Roman" w:hAnsi="Times New Roman"/>
          <w:sz w:val="18"/>
        </w:rPr>
        <w:t>state membre și Turcia, precum și bugetul UE, a ajuns la 1,6 miliarde EUR până la sfârșitul anului 2018.</w:t>
      </w:r>
      <w:r>
        <w:rPr>
          <w:rFonts w:ascii="Times New Roman" w:hAnsi="Times New Roman"/>
          <w:color w:val="000000"/>
          <w:sz w:val="18"/>
        </w:rPr>
        <w:t xml:space="preserve"> 94 % din buget a fost angajat și 74 % a fost contractat, suma plătită ajungând la 690 de milioane EUR. O evaluare strategică intermediară a recomandat </w:t>
      </w:r>
      <w:r>
        <w:rPr>
          <w:rFonts w:ascii="Times New Roman" w:hAnsi="Times New Roman"/>
          <w:color w:val="000000"/>
          <w:sz w:val="18"/>
        </w:rPr>
        <w:t xml:space="preserve">extinderea </w:t>
      </w:r>
      <w:r>
        <w:rPr>
          <w:rFonts w:ascii="Times New Roman" w:hAnsi="Times New Roman"/>
          <w:sz w:val="18"/>
        </w:rPr>
        <w:t xml:space="preserve">Fondului </w:t>
      </w:r>
      <w:r>
        <w:rPr>
          <w:rFonts w:ascii="Times New Roman" w:hAnsi="Times New Roman"/>
          <w:color w:val="000000"/>
          <w:sz w:val="18"/>
        </w:rPr>
        <w:t>fiduciar al UE dincolo de mandatul său actual, care expiră în decembrie 2019.</w:t>
      </w:r>
    </w:p>
  </w:footnote>
  <w:footnote w:id="45">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Finanțate din </w:t>
      </w:r>
      <w:r>
        <w:rPr>
          <w:rFonts w:ascii="Times New Roman" w:hAnsi="Times New Roman"/>
          <w:color w:val="000000"/>
          <w:sz w:val="18"/>
        </w:rPr>
        <w:t>Fondul pentru azil, migrație și integrare</w:t>
      </w:r>
      <w:r>
        <w:rPr>
          <w:rFonts w:ascii="Times New Roman" w:hAnsi="Times New Roman"/>
          <w:sz w:val="18"/>
        </w:rPr>
        <w:t>.</w:t>
      </w:r>
      <w:r>
        <w:rPr>
          <w:rFonts w:ascii="Times New Roman" w:hAnsi="Times New Roman"/>
          <w:color w:val="000000"/>
          <w:sz w:val="18"/>
        </w:rPr>
        <w:t xml:space="preserve"> Începând din 2015, au fost puse la dispoziție aproximativ 37 de milioane EUR pentru proiecte axate </w:t>
      </w:r>
      <w:r>
        <w:rPr>
          <w:rFonts w:ascii="Times New Roman" w:hAnsi="Times New Roman"/>
          <w:color w:val="000000"/>
          <w:sz w:val="18"/>
        </w:rPr>
        <w:t>pe protecția Nordului Africii, și 27,5 milioane EUR în Cornul Africii.</w:t>
      </w:r>
      <w:r>
        <w:rPr>
          <w:rFonts w:ascii="Times New Roman" w:hAnsi="Times New Roman"/>
          <w:color w:val="000000"/>
          <w:sz w:val="24"/>
        </w:rPr>
        <w:t xml:space="preserve"> </w:t>
      </w:r>
    </w:p>
  </w:footnote>
  <w:footnote w:id="46">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Propunerea Comisiei introduce dispoziții comune pentru șapte fonduri, care ar trebui să asigure o îmbunătățire a sinergiilor și, prin urmare, o mai mare eficiență în privința </w:t>
      </w:r>
      <w:r>
        <w:rPr>
          <w:rFonts w:ascii="Times New Roman" w:hAnsi="Times New Roman"/>
          <w:sz w:val="18"/>
        </w:rPr>
        <w:t>integrării resortisanților țărilor terțe aflați în situație de ședere legală și a persoanelor care provin din familii de migranți.</w:t>
      </w:r>
    </w:p>
  </w:footnote>
  <w:footnote w:id="47">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În principal în cadrul Fondului pentru azil și migrație. Alte acțiuni ar putea include asistența în domenii precum locuințe</w:t>
      </w:r>
      <w:r>
        <w:rPr>
          <w:rFonts w:ascii="Times New Roman" w:hAnsi="Times New Roman"/>
          <w:sz w:val="18"/>
        </w:rPr>
        <w:t>le și serviciile medicale și acțiunile care promovează interacțiunea cu societățile-gazdă.</w:t>
      </w:r>
    </w:p>
  </w:footnote>
  <w:footnote w:id="48">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Este vorba de cursuri de limbi străine la locul de muncă, de programe de educație și formare profesională, de acțiuni de sprijinire a activităților independente, d</w:t>
      </w:r>
      <w:r>
        <w:rPr>
          <w:rFonts w:ascii="Times New Roman" w:hAnsi="Times New Roman"/>
          <w:sz w:val="18"/>
        </w:rPr>
        <w:t>e promovare a participării femeilor pe piața forței de muncă, de incluziune socială etc., în conformitate cu obiectivele specifice stabilite în propunerea de reglementare privind Fondul social european+.</w:t>
      </w:r>
    </w:p>
  </w:footnote>
  <w:footnote w:id="49">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În special prin alocarea propusă, în cadrul Fondul</w:t>
      </w:r>
      <w:r>
        <w:rPr>
          <w:rFonts w:ascii="Times New Roman" w:hAnsi="Times New Roman"/>
          <w:sz w:val="18"/>
        </w:rPr>
        <w:t>ui social european+, a unui procent de 25 % pentru incluziunea socială. Fondul european de dezvoltare regională poate, de asemenea, să ofere sprijin pentru investițiile în noi centre de primire și în locuințe sociale, precum și pentru regenerarea zonelor u</w:t>
      </w:r>
      <w:r>
        <w:rPr>
          <w:rFonts w:ascii="Times New Roman" w:hAnsi="Times New Roman"/>
          <w:sz w:val="18"/>
        </w:rPr>
        <w:t>rbane și rurale defavorizate.</w:t>
      </w:r>
    </w:p>
  </w:footnote>
  <w:footnote w:id="50">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 xml:space="preserve">Austria, Germania, Danemarca, Suedia și Norvegia, pe motive legate de criza migrației și de deplasările secundare; Franța, în principal din cauza amenințărilor teroriste. </w:t>
      </w:r>
    </w:p>
  </w:footnote>
  <w:footnote w:id="51">
    <w:p w:rsidR="0021727D" w:rsidRDefault="00406850">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tab/>
      </w:r>
      <w:r>
        <w:rPr>
          <w:rFonts w:ascii="Times New Roman" w:hAnsi="Times New Roman"/>
          <w:sz w:val="18"/>
        </w:rPr>
        <w:t>C (2017) 3349 final, 12.5.2017, C (2017) 6560 fina</w:t>
      </w:r>
      <w:r>
        <w:rPr>
          <w:rFonts w:ascii="Times New Roman" w:hAnsi="Times New Roman"/>
          <w:sz w:val="18"/>
        </w:rPr>
        <w:t>l, 27.9.2017, și COM (2017) 571 final, 27.9.2017.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7D" w:rsidRDefault="00217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7D" w:rsidRDefault="0021727D">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7D" w:rsidRDefault="0021727D">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7D" w:rsidRDefault="002172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7D" w:rsidRDefault="0021727D">
    <w:pPr>
      <w:pStyle w:val="Header"/>
      <w:jc w:val="right"/>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7D" w:rsidRDefault="00217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8BE"/>
    <w:multiLevelType w:val="hybridMultilevel"/>
    <w:tmpl w:val="09B6EDB8"/>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2040B5B"/>
    <w:multiLevelType w:val="hybridMultilevel"/>
    <w:tmpl w:val="A06C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82F17"/>
    <w:multiLevelType w:val="hybridMultilevel"/>
    <w:tmpl w:val="FFA0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F6DA8"/>
    <w:multiLevelType w:val="hybridMultilevel"/>
    <w:tmpl w:val="9CEC9FA4"/>
    <w:lvl w:ilvl="0" w:tplc="C2C243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94F85"/>
    <w:multiLevelType w:val="hybridMultilevel"/>
    <w:tmpl w:val="7B1A1ED0"/>
    <w:lvl w:ilvl="0" w:tplc="4672D052">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852A8E"/>
    <w:multiLevelType w:val="hybridMultilevel"/>
    <w:tmpl w:val="7536F2D8"/>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864AC0"/>
    <w:multiLevelType w:val="hybridMultilevel"/>
    <w:tmpl w:val="078A9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C51889"/>
    <w:multiLevelType w:val="hybridMultilevel"/>
    <w:tmpl w:val="E0E8ACEC"/>
    <w:lvl w:ilvl="0" w:tplc="25EE99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40A8E"/>
    <w:multiLevelType w:val="hybridMultilevel"/>
    <w:tmpl w:val="A8904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76931"/>
    <w:multiLevelType w:val="hybridMultilevel"/>
    <w:tmpl w:val="723AA55E"/>
    <w:lvl w:ilvl="0" w:tplc="71D0C3A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15464DD5"/>
    <w:multiLevelType w:val="hybridMultilevel"/>
    <w:tmpl w:val="7652A03C"/>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AB5F9A"/>
    <w:multiLevelType w:val="hybridMultilevel"/>
    <w:tmpl w:val="089A7C2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178C0B79"/>
    <w:multiLevelType w:val="hybridMultilevel"/>
    <w:tmpl w:val="C3D4298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868097C"/>
    <w:multiLevelType w:val="hybridMultilevel"/>
    <w:tmpl w:val="2C1C9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86E679E"/>
    <w:multiLevelType w:val="hybridMultilevel"/>
    <w:tmpl w:val="9B208572"/>
    <w:lvl w:ilvl="0" w:tplc="25EE99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97003B"/>
    <w:multiLevelType w:val="hybridMultilevel"/>
    <w:tmpl w:val="2CA8AAB0"/>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9673747"/>
    <w:multiLevelType w:val="hybridMultilevel"/>
    <w:tmpl w:val="DB98158C"/>
    <w:lvl w:ilvl="0" w:tplc="0407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1A6F54F1"/>
    <w:multiLevelType w:val="hybridMultilevel"/>
    <w:tmpl w:val="D45AF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BFE2707"/>
    <w:multiLevelType w:val="hybridMultilevel"/>
    <w:tmpl w:val="AFB68ACA"/>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DF52C3"/>
    <w:multiLevelType w:val="hybridMultilevel"/>
    <w:tmpl w:val="3C5613BA"/>
    <w:lvl w:ilvl="0" w:tplc="0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D185B6E"/>
    <w:multiLevelType w:val="hybridMultilevel"/>
    <w:tmpl w:val="9746070E"/>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1" w15:restartNumberingAfterBreak="0">
    <w:nsid w:val="1E0D0EE1"/>
    <w:multiLevelType w:val="hybridMultilevel"/>
    <w:tmpl w:val="1228CDA8"/>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3D6455"/>
    <w:multiLevelType w:val="hybridMultilevel"/>
    <w:tmpl w:val="5EEA8F1C"/>
    <w:lvl w:ilvl="0" w:tplc="71D0C3A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2F676EF"/>
    <w:multiLevelType w:val="hybridMultilevel"/>
    <w:tmpl w:val="147071DE"/>
    <w:lvl w:ilvl="0" w:tplc="4672D05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C83757"/>
    <w:multiLevelType w:val="hybridMultilevel"/>
    <w:tmpl w:val="A31AC09C"/>
    <w:lvl w:ilvl="0" w:tplc="00109D30">
      <w:numFmt w:val="bullet"/>
      <w:lvlText w:val="•"/>
      <w:lvlJc w:val="left"/>
      <w:pPr>
        <w:ind w:left="360" w:hanging="72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2764645D"/>
    <w:multiLevelType w:val="hybridMultilevel"/>
    <w:tmpl w:val="0E0E96B0"/>
    <w:lvl w:ilvl="0" w:tplc="0407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2F4543"/>
    <w:multiLevelType w:val="hybridMultilevel"/>
    <w:tmpl w:val="CA803E38"/>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289477E6"/>
    <w:multiLevelType w:val="hybridMultilevel"/>
    <w:tmpl w:val="078A90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CCB28E5"/>
    <w:multiLevelType w:val="hybridMultilevel"/>
    <w:tmpl w:val="37DA1B36"/>
    <w:lvl w:ilvl="0" w:tplc="0407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E04011B"/>
    <w:multiLevelType w:val="hybridMultilevel"/>
    <w:tmpl w:val="2BDA8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EE675A0"/>
    <w:multiLevelType w:val="hybridMultilevel"/>
    <w:tmpl w:val="560EB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0852B3D"/>
    <w:multiLevelType w:val="hybridMultilevel"/>
    <w:tmpl w:val="50006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0EC03E5"/>
    <w:multiLevelType w:val="hybridMultilevel"/>
    <w:tmpl w:val="601C7664"/>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11C307B"/>
    <w:multiLevelType w:val="hybridMultilevel"/>
    <w:tmpl w:val="5C78D97C"/>
    <w:lvl w:ilvl="0" w:tplc="279CE9EC">
      <w:start w:val="1"/>
      <w:numFmt w:val="bullet"/>
      <w:lvlText w:val="•"/>
      <w:lvlJc w:val="left"/>
      <w:pPr>
        <w:tabs>
          <w:tab w:val="num" w:pos="720"/>
        </w:tabs>
        <w:ind w:left="720" w:hanging="360"/>
      </w:pPr>
      <w:rPr>
        <w:rFonts w:ascii="Times New Roman" w:hAnsi="Times New Roman" w:hint="default"/>
      </w:rPr>
    </w:lvl>
    <w:lvl w:ilvl="1" w:tplc="9CB43992">
      <w:start w:val="1"/>
      <w:numFmt w:val="bullet"/>
      <w:lvlText w:val="•"/>
      <w:lvlJc w:val="left"/>
      <w:pPr>
        <w:tabs>
          <w:tab w:val="num" w:pos="1440"/>
        </w:tabs>
        <w:ind w:left="1440" w:hanging="360"/>
      </w:pPr>
      <w:rPr>
        <w:rFonts w:ascii="Times New Roman" w:hAnsi="Times New Roman" w:hint="default"/>
      </w:rPr>
    </w:lvl>
    <w:lvl w:ilvl="2" w:tplc="F0720A3E" w:tentative="1">
      <w:start w:val="1"/>
      <w:numFmt w:val="bullet"/>
      <w:lvlText w:val="•"/>
      <w:lvlJc w:val="left"/>
      <w:pPr>
        <w:tabs>
          <w:tab w:val="num" w:pos="2160"/>
        </w:tabs>
        <w:ind w:left="2160" w:hanging="360"/>
      </w:pPr>
      <w:rPr>
        <w:rFonts w:ascii="Times New Roman" w:hAnsi="Times New Roman" w:hint="default"/>
      </w:rPr>
    </w:lvl>
    <w:lvl w:ilvl="3" w:tplc="620E4760" w:tentative="1">
      <w:start w:val="1"/>
      <w:numFmt w:val="bullet"/>
      <w:lvlText w:val="•"/>
      <w:lvlJc w:val="left"/>
      <w:pPr>
        <w:tabs>
          <w:tab w:val="num" w:pos="2880"/>
        </w:tabs>
        <w:ind w:left="2880" w:hanging="360"/>
      </w:pPr>
      <w:rPr>
        <w:rFonts w:ascii="Times New Roman" w:hAnsi="Times New Roman" w:hint="default"/>
      </w:rPr>
    </w:lvl>
    <w:lvl w:ilvl="4" w:tplc="A81A6532" w:tentative="1">
      <w:start w:val="1"/>
      <w:numFmt w:val="bullet"/>
      <w:lvlText w:val="•"/>
      <w:lvlJc w:val="left"/>
      <w:pPr>
        <w:tabs>
          <w:tab w:val="num" w:pos="3600"/>
        </w:tabs>
        <w:ind w:left="3600" w:hanging="360"/>
      </w:pPr>
      <w:rPr>
        <w:rFonts w:ascii="Times New Roman" w:hAnsi="Times New Roman" w:hint="default"/>
      </w:rPr>
    </w:lvl>
    <w:lvl w:ilvl="5" w:tplc="AEAA5C9E" w:tentative="1">
      <w:start w:val="1"/>
      <w:numFmt w:val="bullet"/>
      <w:lvlText w:val="•"/>
      <w:lvlJc w:val="left"/>
      <w:pPr>
        <w:tabs>
          <w:tab w:val="num" w:pos="4320"/>
        </w:tabs>
        <w:ind w:left="4320" w:hanging="360"/>
      </w:pPr>
      <w:rPr>
        <w:rFonts w:ascii="Times New Roman" w:hAnsi="Times New Roman" w:hint="default"/>
      </w:rPr>
    </w:lvl>
    <w:lvl w:ilvl="6" w:tplc="7332BAF0" w:tentative="1">
      <w:start w:val="1"/>
      <w:numFmt w:val="bullet"/>
      <w:lvlText w:val="•"/>
      <w:lvlJc w:val="left"/>
      <w:pPr>
        <w:tabs>
          <w:tab w:val="num" w:pos="5040"/>
        </w:tabs>
        <w:ind w:left="5040" w:hanging="360"/>
      </w:pPr>
      <w:rPr>
        <w:rFonts w:ascii="Times New Roman" w:hAnsi="Times New Roman" w:hint="default"/>
      </w:rPr>
    </w:lvl>
    <w:lvl w:ilvl="7" w:tplc="144867DC" w:tentative="1">
      <w:start w:val="1"/>
      <w:numFmt w:val="bullet"/>
      <w:lvlText w:val="•"/>
      <w:lvlJc w:val="left"/>
      <w:pPr>
        <w:tabs>
          <w:tab w:val="num" w:pos="5760"/>
        </w:tabs>
        <w:ind w:left="5760" w:hanging="360"/>
      </w:pPr>
      <w:rPr>
        <w:rFonts w:ascii="Times New Roman" w:hAnsi="Times New Roman" w:hint="default"/>
      </w:rPr>
    </w:lvl>
    <w:lvl w:ilvl="8" w:tplc="BC3A733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318C75F2"/>
    <w:multiLevelType w:val="hybridMultilevel"/>
    <w:tmpl w:val="7C2AEBFC"/>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1F41AAC"/>
    <w:multiLevelType w:val="hybridMultilevel"/>
    <w:tmpl w:val="C750EDB8"/>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2F93A07"/>
    <w:multiLevelType w:val="hybridMultilevel"/>
    <w:tmpl w:val="A85E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41C6716"/>
    <w:multiLevelType w:val="hybridMultilevel"/>
    <w:tmpl w:val="FD9A8768"/>
    <w:lvl w:ilvl="0" w:tplc="25EE9964">
      <w:numFmt w:val="bullet"/>
      <w:lvlText w:val="-"/>
      <w:lvlJc w:val="left"/>
      <w:pPr>
        <w:ind w:left="1800" w:hanging="360"/>
      </w:pPr>
      <w:rPr>
        <w:rFonts w:ascii="Times New Roman" w:eastAsia="Times New Roman"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34B83D22"/>
    <w:multiLevelType w:val="hybridMultilevel"/>
    <w:tmpl w:val="E1F29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53C7E88"/>
    <w:multiLevelType w:val="hybridMultilevel"/>
    <w:tmpl w:val="D374C3F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ED4546"/>
    <w:multiLevelType w:val="hybridMultilevel"/>
    <w:tmpl w:val="B93EF4CE"/>
    <w:lvl w:ilvl="0" w:tplc="0407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1" w15:restartNumberingAfterBreak="0">
    <w:nsid w:val="39925A32"/>
    <w:multiLevelType w:val="hybridMultilevel"/>
    <w:tmpl w:val="B5B0A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F5D018D"/>
    <w:multiLevelType w:val="hybridMultilevel"/>
    <w:tmpl w:val="BB4E2C8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42BB37BD"/>
    <w:multiLevelType w:val="hybridMultilevel"/>
    <w:tmpl w:val="A95C99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4" w15:restartNumberingAfterBreak="0">
    <w:nsid w:val="43DD30CF"/>
    <w:multiLevelType w:val="hybridMultilevel"/>
    <w:tmpl w:val="9C8E8054"/>
    <w:lvl w:ilvl="0" w:tplc="4672D052">
      <w:numFmt w:val="bullet"/>
      <w:lvlText w:val="–"/>
      <w:lvlJc w:val="left"/>
      <w:pPr>
        <w:ind w:left="360" w:hanging="360"/>
      </w:pPr>
      <w:rPr>
        <w:rFonts w:ascii="Times New Roman" w:eastAsia="Calibri" w:hAnsi="Times New Roman" w:cs="Times New Roman" w:hint="default"/>
      </w:rPr>
    </w:lvl>
    <w:lvl w:ilvl="1" w:tplc="25EE9964">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43608EB"/>
    <w:multiLevelType w:val="hybridMultilevel"/>
    <w:tmpl w:val="39887CBA"/>
    <w:lvl w:ilvl="0" w:tplc="F3E42E30">
      <w:start w:val="8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401CE4"/>
    <w:multiLevelType w:val="hybridMultilevel"/>
    <w:tmpl w:val="164A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DC007B7"/>
    <w:multiLevelType w:val="hybridMultilevel"/>
    <w:tmpl w:val="6430F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4FE36CC5"/>
    <w:multiLevelType w:val="hybridMultilevel"/>
    <w:tmpl w:val="2E503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37452F8"/>
    <w:multiLevelType w:val="hybridMultilevel"/>
    <w:tmpl w:val="79C29E54"/>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395464E"/>
    <w:multiLevelType w:val="hybridMultilevel"/>
    <w:tmpl w:val="90E8BDA6"/>
    <w:lvl w:ilvl="0" w:tplc="0407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1" w15:restartNumberingAfterBreak="0">
    <w:nsid w:val="55710540"/>
    <w:multiLevelType w:val="hybridMultilevel"/>
    <w:tmpl w:val="C15C7100"/>
    <w:lvl w:ilvl="0" w:tplc="C09E07AC">
      <w:start w:val="17"/>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57B628DC"/>
    <w:multiLevelType w:val="hybridMultilevel"/>
    <w:tmpl w:val="7B4454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3" w15:restartNumberingAfterBreak="0">
    <w:nsid w:val="5A3F6939"/>
    <w:multiLevelType w:val="hybridMultilevel"/>
    <w:tmpl w:val="D722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DE441F"/>
    <w:multiLevelType w:val="hybridMultilevel"/>
    <w:tmpl w:val="2EA02A8C"/>
    <w:lvl w:ilvl="0" w:tplc="FF26F3B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5DAA1FE5"/>
    <w:multiLevelType w:val="hybridMultilevel"/>
    <w:tmpl w:val="787C942E"/>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15257C7"/>
    <w:multiLevelType w:val="hybridMultilevel"/>
    <w:tmpl w:val="6B18F3AE"/>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39D53BB"/>
    <w:multiLevelType w:val="hybridMultilevel"/>
    <w:tmpl w:val="D940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634303"/>
    <w:multiLevelType w:val="hybridMultilevel"/>
    <w:tmpl w:val="0C16198E"/>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424EDD"/>
    <w:multiLevelType w:val="hybridMultilevel"/>
    <w:tmpl w:val="98C07C14"/>
    <w:lvl w:ilvl="0" w:tplc="0407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67031DDD"/>
    <w:multiLevelType w:val="hybridMultilevel"/>
    <w:tmpl w:val="C630B036"/>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70F6AA7"/>
    <w:multiLevelType w:val="hybridMultilevel"/>
    <w:tmpl w:val="EEC8EE7E"/>
    <w:lvl w:ilvl="0" w:tplc="0407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2" w15:restartNumberingAfterBreak="0">
    <w:nsid w:val="6C1B20AE"/>
    <w:multiLevelType w:val="hybridMultilevel"/>
    <w:tmpl w:val="E1145126"/>
    <w:lvl w:ilvl="0" w:tplc="0809000F">
      <w:start w:val="1"/>
      <w:numFmt w:val="decimal"/>
      <w:lvlText w:val="%1."/>
      <w:lvlJc w:val="left"/>
      <w:pPr>
        <w:ind w:left="720" w:hanging="360"/>
      </w:pPr>
      <w:rPr>
        <w:rFonts w:hint="default"/>
      </w:rPr>
    </w:lvl>
    <w:lvl w:ilvl="1" w:tplc="04070005">
      <w:start w:val="1"/>
      <w:numFmt w:val="bullet"/>
      <w:lvlText w:val=""/>
      <w:lvlJc w:val="left"/>
      <w:pPr>
        <w:ind w:left="1440" w:hanging="360"/>
      </w:pPr>
      <w:rPr>
        <w:rFonts w:ascii="Wingdings" w:hAnsi="Wingdings" w:hint="default"/>
      </w:rPr>
    </w:lvl>
    <w:lvl w:ilvl="2" w:tplc="823466A4">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D065866"/>
    <w:multiLevelType w:val="hybridMultilevel"/>
    <w:tmpl w:val="BBD67170"/>
    <w:lvl w:ilvl="0" w:tplc="B0FA0B2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6F22475F"/>
    <w:multiLevelType w:val="hybridMultilevel"/>
    <w:tmpl w:val="71D8F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F9751E8"/>
    <w:multiLevelType w:val="hybridMultilevel"/>
    <w:tmpl w:val="2F6C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4250521"/>
    <w:multiLevelType w:val="hybridMultilevel"/>
    <w:tmpl w:val="B1488AD4"/>
    <w:lvl w:ilvl="0" w:tplc="71D0C3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53A12E4"/>
    <w:multiLevelType w:val="hybridMultilevel"/>
    <w:tmpl w:val="E3D611A4"/>
    <w:lvl w:ilvl="0" w:tplc="4672D0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6167830"/>
    <w:multiLevelType w:val="hybridMultilevel"/>
    <w:tmpl w:val="52D87F8A"/>
    <w:lvl w:ilvl="0" w:tplc="08090001">
      <w:start w:val="1"/>
      <w:numFmt w:val="bullet"/>
      <w:lvlText w:val=""/>
      <w:lvlJc w:val="left"/>
      <w:pPr>
        <w:ind w:left="669" w:hanging="360"/>
      </w:pPr>
      <w:rPr>
        <w:rFonts w:ascii="Symbol" w:hAnsi="Symbol" w:hint="default"/>
      </w:rPr>
    </w:lvl>
    <w:lvl w:ilvl="1" w:tplc="08090003" w:tentative="1">
      <w:start w:val="1"/>
      <w:numFmt w:val="bullet"/>
      <w:lvlText w:val="o"/>
      <w:lvlJc w:val="left"/>
      <w:pPr>
        <w:ind w:left="1389" w:hanging="360"/>
      </w:pPr>
      <w:rPr>
        <w:rFonts w:ascii="Courier New" w:hAnsi="Courier New" w:cs="Courier New" w:hint="default"/>
      </w:rPr>
    </w:lvl>
    <w:lvl w:ilvl="2" w:tplc="08090005" w:tentative="1">
      <w:start w:val="1"/>
      <w:numFmt w:val="bullet"/>
      <w:lvlText w:val=""/>
      <w:lvlJc w:val="left"/>
      <w:pPr>
        <w:ind w:left="2109" w:hanging="360"/>
      </w:pPr>
      <w:rPr>
        <w:rFonts w:ascii="Wingdings" w:hAnsi="Wingdings" w:hint="default"/>
      </w:rPr>
    </w:lvl>
    <w:lvl w:ilvl="3" w:tplc="08090001" w:tentative="1">
      <w:start w:val="1"/>
      <w:numFmt w:val="bullet"/>
      <w:lvlText w:val=""/>
      <w:lvlJc w:val="left"/>
      <w:pPr>
        <w:ind w:left="2829" w:hanging="360"/>
      </w:pPr>
      <w:rPr>
        <w:rFonts w:ascii="Symbol" w:hAnsi="Symbol" w:hint="default"/>
      </w:rPr>
    </w:lvl>
    <w:lvl w:ilvl="4" w:tplc="08090003" w:tentative="1">
      <w:start w:val="1"/>
      <w:numFmt w:val="bullet"/>
      <w:lvlText w:val="o"/>
      <w:lvlJc w:val="left"/>
      <w:pPr>
        <w:ind w:left="3549" w:hanging="360"/>
      </w:pPr>
      <w:rPr>
        <w:rFonts w:ascii="Courier New" w:hAnsi="Courier New" w:cs="Courier New" w:hint="default"/>
      </w:rPr>
    </w:lvl>
    <w:lvl w:ilvl="5" w:tplc="08090005" w:tentative="1">
      <w:start w:val="1"/>
      <w:numFmt w:val="bullet"/>
      <w:lvlText w:val=""/>
      <w:lvlJc w:val="left"/>
      <w:pPr>
        <w:ind w:left="4269" w:hanging="360"/>
      </w:pPr>
      <w:rPr>
        <w:rFonts w:ascii="Wingdings" w:hAnsi="Wingdings" w:hint="default"/>
      </w:rPr>
    </w:lvl>
    <w:lvl w:ilvl="6" w:tplc="08090001" w:tentative="1">
      <w:start w:val="1"/>
      <w:numFmt w:val="bullet"/>
      <w:lvlText w:val=""/>
      <w:lvlJc w:val="left"/>
      <w:pPr>
        <w:ind w:left="4989" w:hanging="360"/>
      </w:pPr>
      <w:rPr>
        <w:rFonts w:ascii="Symbol" w:hAnsi="Symbol" w:hint="default"/>
      </w:rPr>
    </w:lvl>
    <w:lvl w:ilvl="7" w:tplc="08090003" w:tentative="1">
      <w:start w:val="1"/>
      <w:numFmt w:val="bullet"/>
      <w:lvlText w:val="o"/>
      <w:lvlJc w:val="left"/>
      <w:pPr>
        <w:ind w:left="5709" w:hanging="360"/>
      </w:pPr>
      <w:rPr>
        <w:rFonts w:ascii="Courier New" w:hAnsi="Courier New" w:cs="Courier New" w:hint="default"/>
      </w:rPr>
    </w:lvl>
    <w:lvl w:ilvl="8" w:tplc="08090005" w:tentative="1">
      <w:start w:val="1"/>
      <w:numFmt w:val="bullet"/>
      <w:lvlText w:val=""/>
      <w:lvlJc w:val="left"/>
      <w:pPr>
        <w:ind w:left="6429" w:hanging="360"/>
      </w:pPr>
      <w:rPr>
        <w:rFonts w:ascii="Wingdings" w:hAnsi="Wingdings" w:hint="default"/>
      </w:rPr>
    </w:lvl>
  </w:abstractNum>
  <w:abstractNum w:abstractNumId="69" w15:restartNumberingAfterBreak="0">
    <w:nsid w:val="76637466"/>
    <w:multiLevelType w:val="hybridMultilevel"/>
    <w:tmpl w:val="7886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C2C6F15"/>
    <w:multiLevelType w:val="hybridMultilevel"/>
    <w:tmpl w:val="B4E2D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7E12547B"/>
    <w:multiLevelType w:val="hybridMultilevel"/>
    <w:tmpl w:val="699AD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2" w15:restartNumberingAfterBreak="0">
    <w:nsid w:val="7E1C573A"/>
    <w:multiLevelType w:val="hybridMultilevel"/>
    <w:tmpl w:val="108ACD60"/>
    <w:lvl w:ilvl="0" w:tplc="0407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52"/>
  </w:num>
  <w:num w:numId="2">
    <w:abstractNumId w:val="42"/>
  </w:num>
  <w:num w:numId="3">
    <w:abstractNumId w:val="19"/>
  </w:num>
  <w:num w:numId="4">
    <w:abstractNumId w:val="22"/>
  </w:num>
  <w:num w:numId="5">
    <w:abstractNumId w:val="20"/>
  </w:num>
  <w:num w:numId="6">
    <w:abstractNumId w:val="14"/>
  </w:num>
  <w:num w:numId="7">
    <w:abstractNumId w:val="4"/>
  </w:num>
  <w:num w:numId="8">
    <w:abstractNumId w:val="37"/>
  </w:num>
  <w:num w:numId="9">
    <w:abstractNumId w:val="39"/>
  </w:num>
  <w:num w:numId="10">
    <w:abstractNumId w:val="18"/>
  </w:num>
  <w:num w:numId="11">
    <w:abstractNumId w:val="66"/>
  </w:num>
  <w:num w:numId="12">
    <w:abstractNumId w:val="56"/>
  </w:num>
  <w:num w:numId="13">
    <w:abstractNumId w:val="44"/>
  </w:num>
  <w:num w:numId="14">
    <w:abstractNumId w:val="7"/>
  </w:num>
  <w:num w:numId="15">
    <w:abstractNumId w:val="61"/>
  </w:num>
  <w:num w:numId="16">
    <w:abstractNumId w:val="62"/>
  </w:num>
  <w:num w:numId="17">
    <w:abstractNumId w:val="50"/>
  </w:num>
  <w:num w:numId="18">
    <w:abstractNumId w:val="16"/>
  </w:num>
  <w:num w:numId="19">
    <w:abstractNumId w:val="28"/>
  </w:num>
  <w:num w:numId="20">
    <w:abstractNumId w:val="72"/>
  </w:num>
  <w:num w:numId="21">
    <w:abstractNumId w:val="40"/>
  </w:num>
  <w:num w:numId="22">
    <w:abstractNumId w:val="26"/>
  </w:num>
  <w:num w:numId="23">
    <w:abstractNumId w:val="0"/>
  </w:num>
  <w:num w:numId="24">
    <w:abstractNumId w:val="21"/>
  </w:num>
  <w:num w:numId="25">
    <w:abstractNumId w:val="59"/>
  </w:num>
  <w:num w:numId="26">
    <w:abstractNumId w:val="43"/>
  </w:num>
  <w:num w:numId="27">
    <w:abstractNumId w:val="11"/>
  </w:num>
  <w:num w:numId="28">
    <w:abstractNumId w:val="64"/>
  </w:num>
  <w:num w:numId="29">
    <w:abstractNumId w:val="48"/>
  </w:num>
  <w:num w:numId="30">
    <w:abstractNumId w:val="58"/>
  </w:num>
  <w:num w:numId="31">
    <w:abstractNumId w:val="25"/>
  </w:num>
  <w:num w:numId="32">
    <w:abstractNumId w:val="68"/>
  </w:num>
  <w:num w:numId="33">
    <w:abstractNumId w:val="3"/>
  </w:num>
  <w:num w:numId="34">
    <w:abstractNumId w:val="12"/>
  </w:num>
  <w:num w:numId="35">
    <w:abstractNumId w:val="31"/>
  </w:num>
  <w:num w:numId="36">
    <w:abstractNumId w:val="45"/>
  </w:num>
  <w:num w:numId="37">
    <w:abstractNumId w:val="33"/>
  </w:num>
  <w:num w:numId="38">
    <w:abstractNumId w:val="8"/>
  </w:num>
  <w:num w:numId="39">
    <w:abstractNumId w:val="53"/>
  </w:num>
  <w:num w:numId="40">
    <w:abstractNumId w:val="41"/>
  </w:num>
  <w:num w:numId="41">
    <w:abstractNumId w:val="38"/>
  </w:num>
  <w:num w:numId="42">
    <w:abstractNumId w:val="27"/>
  </w:num>
  <w:num w:numId="43">
    <w:abstractNumId w:val="1"/>
  </w:num>
  <w:num w:numId="44">
    <w:abstractNumId w:val="71"/>
  </w:num>
  <w:num w:numId="45">
    <w:abstractNumId w:val="24"/>
  </w:num>
  <w:num w:numId="46">
    <w:abstractNumId w:val="2"/>
  </w:num>
  <w:num w:numId="47">
    <w:abstractNumId w:val="13"/>
  </w:num>
  <w:num w:numId="48">
    <w:abstractNumId w:val="51"/>
  </w:num>
  <w:num w:numId="49">
    <w:abstractNumId w:val="47"/>
  </w:num>
  <w:num w:numId="50">
    <w:abstractNumId w:val="17"/>
  </w:num>
  <w:num w:numId="51">
    <w:abstractNumId w:val="6"/>
  </w:num>
  <w:num w:numId="52">
    <w:abstractNumId w:val="54"/>
  </w:num>
  <w:num w:numId="53">
    <w:abstractNumId w:val="15"/>
  </w:num>
  <w:num w:numId="54">
    <w:abstractNumId w:val="9"/>
  </w:num>
  <w:num w:numId="55">
    <w:abstractNumId w:val="10"/>
  </w:num>
  <w:num w:numId="56">
    <w:abstractNumId w:val="55"/>
  </w:num>
  <w:num w:numId="57">
    <w:abstractNumId w:val="5"/>
  </w:num>
  <w:num w:numId="58">
    <w:abstractNumId w:val="60"/>
  </w:num>
  <w:num w:numId="59">
    <w:abstractNumId w:val="35"/>
  </w:num>
  <w:num w:numId="60">
    <w:abstractNumId w:val="32"/>
  </w:num>
  <w:num w:numId="61">
    <w:abstractNumId w:val="23"/>
  </w:num>
  <w:num w:numId="62">
    <w:abstractNumId w:val="67"/>
  </w:num>
  <w:num w:numId="63">
    <w:abstractNumId w:val="65"/>
  </w:num>
  <w:num w:numId="64">
    <w:abstractNumId w:val="34"/>
  </w:num>
  <w:num w:numId="65">
    <w:abstractNumId w:val="30"/>
  </w:num>
  <w:num w:numId="66">
    <w:abstractNumId w:val="29"/>
  </w:num>
  <w:num w:numId="67">
    <w:abstractNumId w:val="57"/>
  </w:num>
  <w:num w:numId="68">
    <w:abstractNumId w:val="36"/>
  </w:num>
  <w:num w:numId="69">
    <w:abstractNumId w:val="69"/>
  </w:num>
  <w:num w:numId="70">
    <w:abstractNumId w:val="46"/>
  </w:num>
  <w:num w:numId="71">
    <w:abstractNumId w:val="63"/>
  </w:num>
  <w:num w:numId="72">
    <w:abstractNumId w:val="70"/>
  </w:num>
  <w:num w:numId="73">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5ABADD0-87E9-4BDF-8E46-79DDB342494E"/>
    <w:docVar w:name="LW_COVERPAGE_TYPE" w:val="1"/>
    <w:docVar w:name="LW_CROSSREFERENCE" w:val="&lt;UNUSED&gt;"/>
    <w:docVar w:name="LW_DocType" w:val="NORMAL"/>
    <w:docVar w:name="LW_EMISSION" w:val="6.3.2019"/>
    <w:docVar w:name="LW_EMISSION_ISODATE" w:val="2019-03-06"/>
    <w:docVar w:name="LW_EMISSION_LOCATION" w:val="BRX"/>
    <w:docVar w:name="LW_EMISSION_PREFIX" w:val="Bruxelles, "/>
    <w:docVar w:name="LW_EMISSION_SUFFIX" w:val=" "/>
    <w:docVar w:name="LW_ID_DOCTYPE_NONLW" w:val="CP-009"/>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9) 1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Raport privind progresele înregistrate în punerea în aplicare a Agendei europene privind migra\u539?ia"/>
    <w:docVar w:name="LW_TYPE.DOC.CP" w:val="COMUNICARE A COMISIEI"/>
    <w:docVar w:name="LW_TYPE.DOC.CP.USERTEXT" w:val="C\u258?TRE PARLAMENTUL EUROPEAN, CONSILIUL EUROPEAN \u536?I CONSILIU"/>
  </w:docVars>
  <w:rsids>
    <w:rsidRoot w:val="0021727D"/>
    <w:rsid w:val="0021727D"/>
    <w:rsid w:val="004068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30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eastAsia="Times New Roman" w:hAnsi="Calibri" w:cs="Times New Roman"/>
    </w:rPr>
  </w:style>
  <w:style w:type="paragraph" w:styleId="Heading1">
    <w:name w:val="heading 1"/>
    <w:basedOn w:val="Normal"/>
    <w:next w:val="Normal"/>
    <w:link w:val="Heading1Char"/>
    <w:qFormat/>
    <w:pPr>
      <w:keepNext/>
      <w:tabs>
        <w:tab w:val="num" w:pos="480"/>
      </w:tabs>
      <w:spacing w:before="240" w:after="240"/>
      <w:ind w:left="480" w:hanging="480"/>
      <w:jc w:val="both"/>
      <w:outlineLvl w:val="0"/>
    </w:pPr>
    <w:rPr>
      <w:rFonts w:ascii="Times New Roman" w:hAnsi="Times New Roman"/>
      <w:b/>
      <w:smallCaps/>
      <w:sz w:val="24"/>
      <w:szCs w:val="20"/>
    </w:rPr>
  </w:style>
  <w:style w:type="paragraph" w:styleId="Heading2">
    <w:name w:val="heading 2"/>
    <w:basedOn w:val="Normal"/>
    <w:next w:val="Normal"/>
    <w:link w:val="Heading2Char"/>
    <w:qFormat/>
    <w:pPr>
      <w:keepNext/>
      <w:tabs>
        <w:tab w:val="num" w:pos="1200"/>
      </w:tabs>
      <w:spacing w:after="240"/>
      <w:ind w:left="1200" w:hanging="720"/>
      <w:jc w:val="both"/>
      <w:outlineLvl w:val="1"/>
    </w:pPr>
    <w:rPr>
      <w:rFonts w:ascii="Times New Roman" w:hAnsi="Times New Roman"/>
      <w:b/>
      <w:sz w:val="24"/>
      <w:szCs w:val="20"/>
    </w:rPr>
  </w:style>
  <w:style w:type="paragraph" w:styleId="Heading3">
    <w:name w:val="heading 3"/>
    <w:basedOn w:val="Normal"/>
    <w:next w:val="Normal"/>
    <w:link w:val="Heading3Char"/>
    <w:qFormat/>
    <w:pPr>
      <w:keepNext/>
      <w:tabs>
        <w:tab w:val="num" w:pos="1920"/>
      </w:tabs>
      <w:spacing w:after="240"/>
      <w:ind w:left="1920" w:hanging="720"/>
      <w:jc w:val="both"/>
      <w:outlineLvl w:val="2"/>
    </w:pPr>
    <w:rPr>
      <w:rFonts w:ascii="Times New Roman" w:hAnsi="Times New Roman"/>
      <w:i/>
      <w:sz w:val="24"/>
      <w:szCs w:val="20"/>
    </w:rPr>
  </w:style>
  <w:style w:type="paragraph" w:styleId="Heading4">
    <w:name w:val="heading 4"/>
    <w:basedOn w:val="Normal"/>
    <w:next w:val="Normal"/>
    <w:link w:val="Heading4Char"/>
    <w:qFormat/>
    <w:pPr>
      <w:keepNext/>
      <w:tabs>
        <w:tab w:val="num" w:pos="1920"/>
      </w:tabs>
      <w:spacing w:after="240"/>
      <w:ind w:left="1920" w:hanging="720"/>
      <w:jc w:val="both"/>
      <w:outlineLvl w:val="3"/>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pPr>
      <w:ind w:left="720"/>
      <w:contextualSpacing/>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Times New Roman" w:hAnsi="Calibri" w:cs="Times New Roman"/>
    </w:rPr>
  </w:style>
  <w:style w:type="paragraph" w:styleId="FootnoteText">
    <w:name w:val="footnote text"/>
    <w:aliases w:val="Footnote TextCSR,Fußnotentextf,Note de bas de page Car Car Car Car Car Car Car Car Car Car,Note de bas de page Car Car Car Car,Note de bas de page Car Car Car Car Car Car Car Car Car,ft,Footnote,Fußnote, Char Char Car,fn,Char Char Car,o"/>
    <w:basedOn w:val="Normal"/>
    <w:link w:val="FootnoteTextChar"/>
    <w:unhideWhenUsed/>
    <w:qFormat/>
    <w:rPr>
      <w:rFonts w:asciiTheme="minorHAnsi" w:eastAsiaTheme="minorHAnsi" w:hAnsiTheme="minorHAnsi" w:cstheme="minorBidi"/>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ootnote Char"/>
    <w:basedOn w:val="DefaultParagraphFont"/>
    <w:link w:val="FootnoteText"/>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Ref"/>
    <w:basedOn w:val="DefaultParagraphFont"/>
    <w:uiPriority w:val="99"/>
    <w:unhideWhenUsed/>
    <w:qFormat/>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rPr>
      <w:rFonts w:ascii="Calibri" w:eastAsia="Times New Roman" w:hAnsi="Calibri" w:cs="Times New Roman"/>
    </w:rPr>
  </w:style>
  <w:style w:type="character" w:styleId="Hyperlink">
    <w:name w:val="Hyperlink"/>
    <w:basedOn w:val="DefaultParagraphFont"/>
    <w:uiPriority w:val="99"/>
    <w:unhideWhenUsed/>
    <w:rPr>
      <w:color w:val="0000FF" w:themeColor="hyperlink"/>
      <w:u w:val="single"/>
    </w:rPr>
  </w:style>
  <w:style w:type="paragraph" w:customStyle="1" w:styleId="ISAAFootnote">
    <w:name w:val="ISAA_Footnote"/>
    <w:basedOn w:val="FootnoteText"/>
    <w:autoRedefine/>
    <w:qFormat/>
    <w:pPr>
      <w:jc w:val="both"/>
    </w:pPr>
    <w:rPr>
      <w:rFonts w:ascii="EC Square Sans Pro" w:eastAsia="Times New Roman" w:hAnsi="EC Square Sans Pro" w:cs="Times New Roman"/>
      <w:sz w:val="18"/>
    </w:rPr>
  </w:style>
  <w:style w:type="paragraph" w:customStyle="1" w:styleId="ISAANormal">
    <w:name w:val="ISAA_Normal"/>
    <w:basedOn w:val="Normal"/>
    <w:qFormat/>
    <w:pPr>
      <w:spacing w:after="240"/>
      <w:jc w:val="both"/>
    </w:pPr>
    <w:rPr>
      <w:rFonts w:ascii="EC Square Sans Pro" w:hAnsi="EC Square Sans Pro"/>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 w:val="20"/>
      <w:szCs w:val="24"/>
    </w:rPr>
  </w:style>
  <w:style w:type="character" w:customStyle="1" w:styleId="5NormalChar">
    <w:name w:val="5 Normal Char"/>
    <w:link w:val="5Normal"/>
    <w:locked/>
    <w:rPr>
      <w:rFonts w:ascii="Verdana" w:eastAsia="Times New Roman" w:hAnsi="Verdana" w:cs="Times New Roman"/>
      <w:spacing w:val="-2"/>
      <w:sz w:val="20"/>
      <w:szCs w:val="24"/>
      <w:lang w:eastAsia="ro-RO"/>
    </w:rPr>
  </w:style>
  <w:style w:type="table" w:customStyle="1" w:styleId="Calendar2">
    <w:name w:val="Calendar 2"/>
    <w:basedOn w:val="TableNormal"/>
    <w:uiPriority w:val="99"/>
    <w:qFormat/>
    <w:pPr>
      <w:spacing w:after="0" w:line="240" w:lineRule="auto"/>
      <w:jc w:val="center"/>
    </w:pPr>
    <w:rPr>
      <w:rFonts w:eastAsiaTheme="minorEastAsia"/>
      <w:sz w:val="28"/>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eastAsiaTheme="minorHAnsi" w:hAnsi="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outlineLvl w:val="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outlineLvl w:val="0"/>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outlineLvl w:val="0"/>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outlineLvl w:val="0"/>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ISAAHeading3">
    <w:name w:val="ISAA_Heading_3"/>
    <w:basedOn w:val="Heading2"/>
    <w:next w:val="ISAANormal"/>
    <w:autoRedefine/>
    <w:qFormat/>
    <w:pPr>
      <w:tabs>
        <w:tab w:val="clear" w:pos="1200"/>
      </w:tabs>
      <w:spacing w:before="120" w:after="120"/>
      <w:ind w:left="1985" w:hanging="1985"/>
      <w:jc w:val="left"/>
    </w:pPr>
    <w:rPr>
      <w:rFonts w:ascii="EC Square Sans Pro" w:hAnsi="EC Square Sans Pro"/>
      <w:i/>
      <w:noProof/>
      <w:sz w:val="20"/>
    </w:rPr>
  </w:style>
  <w:style w:type="paragraph" w:customStyle="1" w:styleId="Text1">
    <w:name w:val="Text 1"/>
    <w:basedOn w:val="Normal"/>
    <w:pPr>
      <w:spacing w:after="240"/>
      <w:ind w:left="482"/>
      <w:jc w:val="both"/>
    </w:pPr>
    <w:rPr>
      <w:rFonts w:ascii="Times New Roman" w:hAnsi="Times New Roman"/>
      <w:sz w:val="24"/>
      <w:szCs w:val="20"/>
    </w:rPr>
  </w:style>
  <w:style w:type="paragraph" w:styleId="ListBullet">
    <w:name w:val="List Bullet"/>
    <w:basedOn w:val="Normal"/>
    <w:uiPriority w:val="99"/>
    <w:unhideWhenUsed/>
    <w:pPr>
      <w:ind w:left="283" w:hanging="283"/>
    </w:pPr>
    <w:rPr>
      <w:rFonts w:ascii="Times New Roman" w:eastAsiaTheme="minorHAnsi" w:hAnsi="Times New Roman"/>
      <w:sz w:val="24"/>
      <w:szCs w:val="24"/>
    </w:rPr>
  </w:style>
  <w:style w:type="paragraph" w:customStyle="1" w:styleId="Briefingtext">
    <w:name w:val="Briefing text"/>
    <w:basedOn w:val="Normal"/>
    <w:link w:val="BriefingtextChar"/>
    <w:qFormat/>
    <w:pPr>
      <w:spacing w:after="240"/>
      <w:jc w:val="both"/>
    </w:pPr>
    <w:rPr>
      <w:rFonts w:ascii="Arial" w:hAnsi="Arial" w:cs="Arial"/>
      <w:szCs w:val="24"/>
    </w:rPr>
  </w:style>
  <w:style w:type="character" w:customStyle="1" w:styleId="BriefingtextChar">
    <w:name w:val="Briefing text Char"/>
    <w:link w:val="Briefingtext"/>
    <w:rPr>
      <w:rFonts w:ascii="Arial" w:eastAsia="Times New Roman" w:hAnsi="Arial" w:cs="Arial"/>
      <w:szCs w:val="24"/>
    </w:rPr>
  </w:style>
  <w:style w:type="character" w:customStyle="1" w:styleId="Corpsdutexte3NonGras">
    <w:name w:val="Corps du texte (3) + Non Gras"/>
    <w:uiPriority w:val="99"/>
    <w:rPr>
      <w:b w:val="0"/>
      <w:bCs w:val="0"/>
      <w:sz w:val="30"/>
      <w:szCs w:val="30"/>
      <w:shd w:val="clear" w:color="auto" w:fill="FFFFFF"/>
    </w:rPr>
  </w:style>
  <w:style w:type="character" w:customStyle="1" w:styleId="highlight">
    <w:name w:val="highlight"/>
    <w:basedOn w:val="DefaultParagraphFont"/>
  </w:style>
  <w:style w:type="paragraph" w:styleId="NoSpacing">
    <w:name w:val="No Spacing"/>
    <w:uiPriority w:val="1"/>
    <w:qFormat/>
    <w:pPr>
      <w:spacing w:after="0" w:line="240" w:lineRule="auto"/>
    </w:pPr>
  </w:style>
  <w:style w:type="character" w:styleId="Strong">
    <w:name w:val="Strong"/>
    <w:basedOn w:val="DefaultParagraphFont"/>
    <w:uiPriority w:val="22"/>
    <w:qFormat/>
    <w:rPr>
      <w:rFonts w:ascii="Times New Roman" w:hAnsi="Times New Roman" w:cs="Times New Roman" w:hint="default"/>
      <w:b/>
      <w:bCs/>
    </w:rPr>
  </w:style>
  <w:style w:type="paragraph" w:styleId="NormalWeb">
    <w:name w:val="Normal (Web)"/>
    <w:basedOn w:val="Normal"/>
    <w:uiPriority w:val="99"/>
    <w:semiHidden/>
    <w:unhideWhenUsed/>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9415">
      <w:bodyDiv w:val="1"/>
      <w:marLeft w:val="0"/>
      <w:marRight w:val="0"/>
      <w:marTop w:val="0"/>
      <w:marBottom w:val="0"/>
      <w:divBdr>
        <w:top w:val="none" w:sz="0" w:space="0" w:color="auto"/>
        <w:left w:val="none" w:sz="0" w:space="0" w:color="auto"/>
        <w:bottom w:val="none" w:sz="0" w:space="0" w:color="auto"/>
        <w:right w:val="none" w:sz="0" w:space="0" w:color="auto"/>
      </w:divBdr>
    </w:div>
    <w:div w:id="98069596">
      <w:bodyDiv w:val="1"/>
      <w:marLeft w:val="0"/>
      <w:marRight w:val="0"/>
      <w:marTop w:val="0"/>
      <w:marBottom w:val="0"/>
      <w:divBdr>
        <w:top w:val="none" w:sz="0" w:space="0" w:color="auto"/>
        <w:left w:val="none" w:sz="0" w:space="0" w:color="auto"/>
        <w:bottom w:val="none" w:sz="0" w:space="0" w:color="auto"/>
        <w:right w:val="none" w:sz="0" w:space="0" w:color="auto"/>
      </w:divBdr>
    </w:div>
    <w:div w:id="102187951">
      <w:bodyDiv w:val="1"/>
      <w:marLeft w:val="0"/>
      <w:marRight w:val="0"/>
      <w:marTop w:val="0"/>
      <w:marBottom w:val="0"/>
      <w:divBdr>
        <w:top w:val="none" w:sz="0" w:space="0" w:color="auto"/>
        <w:left w:val="none" w:sz="0" w:space="0" w:color="auto"/>
        <w:bottom w:val="none" w:sz="0" w:space="0" w:color="auto"/>
        <w:right w:val="none" w:sz="0" w:space="0" w:color="auto"/>
      </w:divBdr>
    </w:div>
    <w:div w:id="135341554">
      <w:bodyDiv w:val="1"/>
      <w:marLeft w:val="0"/>
      <w:marRight w:val="0"/>
      <w:marTop w:val="0"/>
      <w:marBottom w:val="0"/>
      <w:divBdr>
        <w:top w:val="none" w:sz="0" w:space="0" w:color="auto"/>
        <w:left w:val="none" w:sz="0" w:space="0" w:color="auto"/>
        <w:bottom w:val="none" w:sz="0" w:space="0" w:color="auto"/>
        <w:right w:val="none" w:sz="0" w:space="0" w:color="auto"/>
      </w:divBdr>
    </w:div>
    <w:div w:id="202450341">
      <w:bodyDiv w:val="1"/>
      <w:marLeft w:val="0"/>
      <w:marRight w:val="0"/>
      <w:marTop w:val="0"/>
      <w:marBottom w:val="0"/>
      <w:divBdr>
        <w:top w:val="none" w:sz="0" w:space="0" w:color="auto"/>
        <w:left w:val="none" w:sz="0" w:space="0" w:color="auto"/>
        <w:bottom w:val="none" w:sz="0" w:space="0" w:color="auto"/>
        <w:right w:val="none" w:sz="0" w:space="0" w:color="auto"/>
      </w:divBdr>
    </w:div>
    <w:div w:id="316425927">
      <w:bodyDiv w:val="1"/>
      <w:marLeft w:val="0"/>
      <w:marRight w:val="0"/>
      <w:marTop w:val="0"/>
      <w:marBottom w:val="0"/>
      <w:divBdr>
        <w:top w:val="none" w:sz="0" w:space="0" w:color="auto"/>
        <w:left w:val="none" w:sz="0" w:space="0" w:color="auto"/>
        <w:bottom w:val="none" w:sz="0" w:space="0" w:color="auto"/>
        <w:right w:val="none" w:sz="0" w:space="0" w:color="auto"/>
      </w:divBdr>
    </w:div>
    <w:div w:id="319233311">
      <w:bodyDiv w:val="1"/>
      <w:marLeft w:val="0"/>
      <w:marRight w:val="0"/>
      <w:marTop w:val="0"/>
      <w:marBottom w:val="0"/>
      <w:divBdr>
        <w:top w:val="none" w:sz="0" w:space="0" w:color="auto"/>
        <w:left w:val="none" w:sz="0" w:space="0" w:color="auto"/>
        <w:bottom w:val="none" w:sz="0" w:space="0" w:color="auto"/>
        <w:right w:val="none" w:sz="0" w:space="0" w:color="auto"/>
      </w:divBdr>
    </w:div>
    <w:div w:id="341007433">
      <w:bodyDiv w:val="1"/>
      <w:marLeft w:val="0"/>
      <w:marRight w:val="0"/>
      <w:marTop w:val="0"/>
      <w:marBottom w:val="0"/>
      <w:divBdr>
        <w:top w:val="none" w:sz="0" w:space="0" w:color="auto"/>
        <w:left w:val="none" w:sz="0" w:space="0" w:color="auto"/>
        <w:bottom w:val="none" w:sz="0" w:space="0" w:color="auto"/>
        <w:right w:val="none" w:sz="0" w:space="0" w:color="auto"/>
      </w:divBdr>
    </w:div>
    <w:div w:id="392120320">
      <w:bodyDiv w:val="1"/>
      <w:marLeft w:val="0"/>
      <w:marRight w:val="0"/>
      <w:marTop w:val="0"/>
      <w:marBottom w:val="0"/>
      <w:divBdr>
        <w:top w:val="none" w:sz="0" w:space="0" w:color="auto"/>
        <w:left w:val="none" w:sz="0" w:space="0" w:color="auto"/>
        <w:bottom w:val="none" w:sz="0" w:space="0" w:color="auto"/>
        <w:right w:val="none" w:sz="0" w:space="0" w:color="auto"/>
      </w:divBdr>
    </w:div>
    <w:div w:id="464275734">
      <w:bodyDiv w:val="1"/>
      <w:marLeft w:val="0"/>
      <w:marRight w:val="0"/>
      <w:marTop w:val="0"/>
      <w:marBottom w:val="0"/>
      <w:divBdr>
        <w:top w:val="none" w:sz="0" w:space="0" w:color="auto"/>
        <w:left w:val="none" w:sz="0" w:space="0" w:color="auto"/>
        <w:bottom w:val="none" w:sz="0" w:space="0" w:color="auto"/>
        <w:right w:val="none" w:sz="0" w:space="0" w:color="auto"/>
      </w:divBdr>
    </w:div>
    <w:div w:id="494226678">
      <w:bodyDiv w:val="1"/>
      <w:marLeft w:val="0"/>
      <w:marRight w:val="0"/>
      <w:marTop w:val="0"/>
      <w:marBottom w:val="0"/>
      <w:divBdr>
        <w:top w:val="none" w:sz="0" w:space="0" w:color="auto"/>
        <w:left w:val="none" w:sz="0" w:space="0" w:color="auto"/>
        <w:bottom w:val="none" w:sz="0" w:space="0" w:color="auto"/>
        <w:right w:val="none" w:sz="0" w:space="0" w:color="auto"/>
      </w:divBdr>
    </w:div>
    <w:div w:id="575624733">
      <w:bodyDiv w:val="1"/>
      <w:marLeft w:val="0"/>
      <w:marRight w:val="0"/>
      <w:marTop w:val="0"/>
      <w:marBottom w:val="0"/>
      <w:divBdr>
        <w:top w:val="none" w:sz="0" w:space="0" w:color="auto"/>
        <w:left w:val="none" w:sz="0" w:space="0" w:color="auto"/>
        <w:bottom w:val="none" w:sz="0" w:space="0" w:color="auto"/>
        <w:right w:val="none" w:sz="0" w:space="0" w:color="auto"/>
      </w:divBdr>
    </w:div>
    <w:div w:id="586882702">
      <w:bodyDiv w:val="1"/>
      <w:marLeft w:val="0"/>
      <w:marRight w:val="0"/>
      <w:marTop w:val="0"/>
      <w:marBottom w:val="0"/>
      <w:divBdr>
        <w:top w:val="none" w:sz="0" w:space="0" w:color="auto"/>
        <w:left w:val="none" w:sz="0" w:space="0" w:color="auto"/>
        <w:bottom w:val="none" w:sz="0" w:space="0" w:color="auto"/>
        <w:right w:val="none" w:sz="0" w:space="0" w:color="auto"/>
      </w:divBdr>
    </w:div>
    <w:div w:id="632488529">
      <w:bodyDiv w:val="1"/>
      <w:marLeft w:val="0"/>
      <w:marRight w:val="0"/>
      <w:marTop w:val="0"/>
      <w:marBottom w:val="0"/>
      <w:divBdr>
        <w:top w:val="none" w:sz="0" w:space="0" w:color="auto"/>
        <w:left w:val="none" w:sz="0" w:space="0" w:color="auto"/>
        <w:bottom w:val="none" w:sz="0" w:space="0" w:color="auto"/>
        <w:right w:val="none" w:sz="0" w:space="0" w:color="auto"/>
      </w:divBdr>
      <w:divsChild>
        <w:div w:id="2042051219">
          <w:marLeft w:val="0"/>
          <w:marRight w:val="0"/>
          <w:marTop w:val="0"/>
          <w:marBottom w:val="0"/>
          <w:divBdr>
            <w:top w:val="none" w:sz="0" w:space="0" w:color="auto"/>
            <w:left w:val="none" w:sz="0" w:space="0" w:color="auto"/>
            <w:bottom w:val="none" w:sz="0" w:space="0" w:color="auto"/>
            <w:right w:val="none" w:sz="0" w:space="0" w:color="auto"/>
          </w:divBdr>
          <w:divsChild>
            <w:div w:id="11843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5017">
      <w:bodyDiv w:val="1"/>
      <w:marLeft w:val="0"/>
      <w:marRight w:val="0"/>
      <w:marTop w:val="0"/>
      <w:marBottom w:val="0"/>
      <w:divBdr>
        <w:top w:val="none" w:sz="0" w:space="0" w:color="auto"/>
        <w:left w:val="none" w:sz="0" w:space="0" w:color="auto"/>
        <w:bottom w:val="none" w:sz="0" w:space="0" w:color="auto"/>
        <w:right w:val="none" w:sz="0" w:space="0" w:color="auto"/>
      </w:divBdr>
    </w:div>
    <w:div w:id="678384012">
      <w:bodyDiv w:val="1"/>
      <w:marLeft w:val="0"/>
      <w:marRight w:val="0"/>
      <w:marTop w:val="0"/>
      <w:marBottom w:val="0"/>
      <w:divBdr>
        <w:top w:val="none" w:sz="0" w:space="0" w:color="auto"/>
        <w:left w:val="none" w:sz="0" w:space="0" w:color="auto"/>
        <w:bottom w:val="none" w:sz="0" w:space="0" w:color="auto"/>
        <w:right w:val="none" w:sz="0" w:space="0" w:color="auto"/>
      </w:divBdr>
    </w:div>
    <w:div w:id="747578275">
      <w:bodyDiv w:val="1"/>
      <w:marLeft w:val="0"/>
      <w:marRight w:val="0"/>
      <w:marTop w:val="0"/>
      <w:marBottom w:val="0"/>
      <w:divBdr>
        <w:top w:val="none" w:sz="0" w:space="0" w:color="auto"/>
        <w:left w:val="none" w:sz="0" w:space="0" w:color="auto"/>
        <w:bottom w:val="none" w:sz="0" w:space="0" w:color="auto"/>
        <w:right w:val="none" w:sz="0" w:space="0" w:color="auto"/>
      </w:divBdr>
    </w:div>
    <w:div w:id="972753165">
      <w:bodyDiv w:val="1"/>
      <w:marLeft w:val="0"/>
      <w:marRight w:val="0"/>
      <w:marTop w:val="0"/>
      <w:marBottom w:val="0"/>
      <w:divBdr>
        <w:top w:val="none" w:sz="0" w:space="0" w:color="auto"/>
        <w:left w:val="none" w:sz="0" w:space="0" w:color="auto"/>
        <w:bottom w:val="none" w:sz="0" w:space="0" w:color="auto"/>
        <w:right w:val="none" w:sz="0" w:space="0" w:color="auto"/>
      </w:divBdr>
    </w:div>
    <w:div w:id="981808517">
      <w:bodyDiv w:val="1"/>
      <w:marLeft w:val="0"/>
      <w:marRight w:val="0"/>
      <w:marTop w:val="0"/>
      <w:marBottom w:val="0"/>
      <w:divBdr>
        <w:top w:val="none" w:sz="0" w:space="0" w:color="auto"/>
        <w:left w:val="none" w:sz="0" w:space="0" w:color="auto"/>
        <w:bottom w:val="none" w:sz="0" w:space="0" w:color="auto"/>
        <w:right w:val="none" w:sz="0" w:space="0" w:color="auto"/>
      </w:divBdr>
    </w:div>
    <w:div w:id="985934808">
      <w:bodyDiv w:val="1"/>
      <w:marLeft w:val="0"/>
      <w:marRight w:val="0"/>
      <w:marTop w:val="0"/>
      <w:marBottom w:val="0"/>
      <w:divBdr>
        <w:top w:val="none" w:sz="0" w:space="0" w:color="auto"/>
        <w:left w:val="none" w:sz="0" w:space="0" w:color="auto"/>
        <w:bottom w:val="none" w:sz="0" w:space="0" w:color="auto"/>
        <w:right w:val="none" w:sz="0" w:space="0" w:color="auto"/>
      </w:divBdr>
    </w:div>
    <w:div w:id="991711273">
      <w:bodyDiv w:val="1"/>
      <w:marLeft w:val="0"/>
      <w:marRight w:val="0"/>
      <w:marTop w:val="0"/>
      <w:marBottom w:val="0"/>
      <w:divBdr>
        <w:top w:val="none" w:sz="0" w:space="0" w:color="auto"/>
        <w:left w:val="none" w:sz="0" w:space="0" w:color="auto"/>
        <w:bottom w:val="none" w:sz="0" w:space="0" w:color="auto"/>
        <w:right w:val="none" w:sz="0" w:space="0" w:color="auto"/>
      </w:divBdr>
    </w:div>
    <w:div w:id="1064721757">
      <w:bodyDiv w:val="1"/>
      <w:marLeft w:val="0"/>
      <w:marRight w:val="0"/>
      <w:marTop w:val="0"/>
      <w:marBottom w:val="0"/>
      <w:divBdr>
        <w:top w:val="none" w:sz="0" w:space="0" w:color="auto"/>
        <w:left w:val="none" w:sz="0" w:space="0" w:color="auto"/>
        <w:bottom w:val="none" w:sz="0" w:space="0" w:color="auto"/>
        <w:right w:val="none" w:sz="0" w:space="0" w:color="auto"/>
      </w:divBdr>
    </w:div>
    <w:div w:id="1089615054">
      <w:bodyDiv w:val="1"/>
      <w:marLeft w:val="0"/>
      <w:marRight w:val="0"/>
      <w:marTop w:val="0"/>
      <w:marBottom w:val="0"/>
      <w:divBdr>
        <w:top w:val="none" w:sz="0" w:space="0" w:color="auto"/>
        <w:left w:val="none" w:sz="0" w:space="0" w:color="auto"/>
        <w:bottom w:val="none" w:sz="0" w:space="0" w:color="auto"/>
        <w:right w:val="none" w:sz="0" w:space="0" w:color="auto"/>
      </w:divBdr>
    </w:div>
    <w:div w:id="1101801491">
      <w:bodyDiv w:val="1"/>
      <w:marLeft w:val="0"/>
      <w:marRight w:val="0"/>
      <w:marTop w:val="0"/>
      <w:marBottom w:val="0"/>
      <w:divBdr>
        <w:top w:val="none" w:sz="0" w:space="0" w:color="auto"/>
        <w:left w:val="none" w:sz="0" w:space="0" w:color="auto"/>
        <w:bottom w:val="none" w:sz="0" w:space="0" w:color="auto"/>
        <w:right w:val="none" w:sz="0" w:space="0" w:color="auto"/>
      </w:divBdr>
    </w:div>
    <w:div w:id="1161197425">
      <w:bodyDiv w:val="1"/>
      <w:marLeft w:val="0"/>
      <w:marRight w:val="0"/>
      <w:marTop w:val="0"/>
      <w:marBottom w:val="0"/>
      <w:divBdr>
        <w:top w:val="none" w:sz="0" w:space="0" w:color="auto"/>
        <w:left w:val="none" w:sz="0" w:space="0" w:color="auto"/>
        <w:bottom w:val="none" w:sz="0" w:space="0" w:color="auto"/>
        <w:right w:val="none" w:sz="0" w:space="0" w:color="auto"/>
      </w:divBdr>
    </w:div>
    <w:div w:id="1471098388">
      <w:bodyDiv w:val="1"/>
      <w:marLeft w:val="0"/>
      <w:marRight w:val="0"/>
      <w:marTop w:val="0"/>
      <w:marBottom w:val="0"/>
      <w:divBdr>
        <w:top w:val="none" w:sz="0" w:space="0" w:color="auto"/>
        <w:left w:val="none" w:sz="0" w:space="0" w:color="auto"/>
        <w:bottom w:val="none" w:sz="0" w:space="0" w:color="auto"/>
        <w:right w:val="none" w:sz="0" w:space="0" w:color="auto"/>
      </w:divBdr>
    </w:div>
    <w:div w:id="1522428672">
      <w:bodyDiv w:val="1"/>
      <w:marLeft w:val="0"/>
      <w:marRight w:val="0"/>
      <w:marTop w:val="0"/>
      <w:marBottom w:val="0"/>
      <w:divBdr>
        <w:top w:val="none" w:sz="0" w:space="0" w:color="auto"/>
        <w:left w:val="none" w:sz="0" w:space="0" w:color="auto"/>
        <w:bottom w:val="none" w:sz="0" w:space="0" w:color="auto"/>
        <w:right w:val="none" w:sz="0" w:space="0" w:color="auto"/>
      </w:divBdr>
    </w:div>
    <w:div w:id="1549337347">
      <w:bodyDiv w:val="1"/>
      <w:marLeft w:val="0"/>
      <w:marRight w:val="0"/>
      <w:marTop w:val="0"/>
      <w:marBottom w:val="0"/>
      <w:divBdr>
        <w:top w:val="none" w:sz="0" w:space="0" w:color="auto"/>
        <w:left w:val="none" w:sz="0" w:space="0" w:color="auto"/>
        <w:bottom w:val="none" w:sz="0" w:space="0" w:color="auto"/>
        <w:right w:val="none" w:sz="0" w:space="0" w:color="auto"/>
      </w:divBdr>
    </w:div>
    <w:div w:id="1556890650">
      <w:bodyDiv w:val="1"/>
      <w:marLeft w:val="0"/>
      <w:marRight w:val="0"/>
      <w:marTop w:val="0"/>
      <w:marBottom w:val="0"/>
      <w:divBdr>
        <w:top w:val="none" w:sz="0" w:space="0" w:color="auto"/>
        <w:left w:val="none" w:sz="0" w:space="0" w:color="auto"/>
        <w:bottom w:val="none" w:sz="0" w:space="0" w:color="auto"/>
        <w:right w:val="none" w:sz="0" w:space="0" w:color="auto"/>
      </w:divBdr>
    </w:div>
    <w:div w:id="1622228930">
      <w:bodyDiv w:val="1"/>
      <w:marLeft w:val="0"/>
      <w:marRight w:val="0"/>
      <w:marTop w:val="0"/>
      <w:marBottom w:val="0"/>
      <w:divBdr>
        <w:top w:val="none" w:sz="0" w:space="0" w:color="auto"/>
        <w:left w:val="none" w:sz="0" w:space="0" w:color="auto"/>
        <w:bottom w:val="none" w:sz="0" w:space="0" w:color="auto"/>
        <w:right w:val="none" w:sz="0" w:space="0" w:color="auto"/>
      </w:divBdr>
    </w:div>
    <w:div w:id="1633486310">
      <w:bodyDiv w:val="1"/>
      <w:marLeft w:val="0"/>
      <w:marRight w:val="0"/>
      <w:marTop w:val="0"/>
      <w:marBottom w:val="0"/>
      <w:divBdr>
        <w:top w:val="none" w:sz="0" w:space="0" w:color="auto"/>
        <w:left w:val="none" w:sz="0" w:space="0" w:color="auto"/>
        <w:bottom w:val="none" w:sz="0" w:space="0" w:color="auto"/>
        <w:right w:val="none" w:sz="0" w:space="0" w:color="auto"/>
      </w:divBdr>
    </w:div>
    <w:div w:id="1657227854">
      <w:bodyDiv w:val="1"/>
      <w:marLeft w:val="0"/>
      <w:marRight w:val="0"/>
      <w:marTop w:val="0"/>
      <w:marBottom w:val="0"/>
      <w:divBdr>
        <w:top w:val="none" w:sz="0" w:space="0" w:color="auto"/>
        <w:left w:val="none" w:sz="0" w:space="0" w:color="auto"/>
        <w:bottom w:val="none" w:sz="0" w:space="0" w:color="auto"/>
        <w:right w:val="none" w:sz="0" w:space="0" w:color="auto"/>
      </w:divBdr>
    </w:div>
    <w:div w:id="1669167390">
      <w:bodyDiv w:val="1"/>
      <w:marLeft w:val="0"/>
      <w:marRight w:val="0"/>
      <w:marTop w:val="0"/>
      <w:marBottom w:val="0"/>
      <w:divBdr>
        <w:top w:val="none" w:sz="0" w:space="0" w:color="auto"/>
        <w:left w:val="none" w:sz="0" w:space="0" w:color="auto"/>
        <w:bottom w:val="none" w:sz="0" w:space="0" w:color="auto"/>
        <w:right w:val="none" w:sz="0" w:space="0" w:color="auto"/>
      </w:divBdr>
      <w:divsChild>
        <w:div w:id="335573264">
          <w:marLeft w:val="1166"/>
          <w:marRight w:val="0"/>
          <w:marTop w:val="67"/>
          <w:marBottom w:val="0"/>
          <w:divBdr>
            <w:top w:val="none" w:sz="0" w:space="0" w:color="auto"/>
            <w:left w:val="none" w:sz="0" w:space="0" w:color="auto"/>
            <w:bottom w:val="none" w:sz="0" w:space="0" w:color="auto"/>
            <w:right w:val="none" w:sz="0" w:space="0" w:color="auto"/>
          </w:divBdr>
        </w:div>
        <w:div w:id="918297041">
          <w:marLeft w:val="1166"/>
          <w:marRight w:val="0"/>
          <w:marTop w:val="67"/>
          <w:marBottom w:val="0"/>
          <w:divBdr>
            <w:top w:val="none" w:sz="0" w:space="0" w:color="auto"/>
            <w:left w:val="none" w:sz="0" w:space="0" w:color="auto"/>
            <w:bottom w:val="none" w:sz="0" w:space="0" w:color="auto"/>
            <w:right w:val="none" w:sz="0" w:space="0" w:color="auto"/>
          </w:divBdr>
        </w:div>
        <w:div w:id="1047606675">
          <w:marLeft w:val="1166"/>
          <w:marRight w:val="0"/>
          <w:marTop w:val="67"/>
          <w:marBottom w:val="0"/>
          <w:divBdr>
            <w:top w:val="none" w:sz="0" w:space="0" w:color="auto"/>
            <w:left w:val="none" w:sz="0" w:space="0" w:color="auto"/>
            <w:bottom w:val="none" w:sz="0" w:space="0" w:color="auto"/>
            <w:right w:val="none" w:sz="0" w:space="0" w:color="auto"/>
          </w:divBdr>
        </w:div>
        <w:div w:id="1065641060">
          <w:marLeft w:val="1166"/>
          <w:marRight w:val="0"/>
          <w:marTop w:val="67"/>
          <w:marBottom w:val="0"/>
          <w:divBdr>
            <w:top w:val="none" w:sz="0" w:space="0" w:color="auto"/>
            <w:left w:val="none" w:sz="0" w:space="0" w:color="auto"/>
            <w:bottom w:val="none" w:sz="0" w:space="0" w:color="auto"/>
            <w:right w:val="none" w:sz="0" w:space="0" w:color="auto"/>
          </w:divBdr>
        </w:div>
        <w:div w:id="1513106917">
          <w:marLeft w:val="1166"/>
          <w:marRight w:val="0"/>
          <w:marTop w:val="67"/>
          <w:marBottom w:val="0"/>
          <w:divBdr>
            <w:top w:val="none" w:sz="0" w:space="0" w:color="auto"/>
            <w:left w:val="none" w:sz="0" w:space="0" w:color="auto"/>
            <w:bottom w:val="none" w:sz="0" w:space="0" w:color="auto"/>
            <w:right w:val="none" w:sz="0" w:space="0" w:color="auto"/>
          </w:divBdr>
        </w:div>
      </w:divsChild>
    </w:div>
    <w:div w:id="1697539924">
      <w:bodyDiv w:val="1"/>
      <w:marLeft w:val="0"/>
      <w:marRight w:val="0"/>
      <w:marTop w:val="0"/>
      <w:marBottom w:val="0"/>
      <w:divBdr>
        <w:top w:val="none" w:sz="0" w:space="0" w:color="auto"/>
        <w:left w:val="none" w:sz="0" w:space="0" w:color="auto"/>
        <w:bottom w:val="none" w:sz="0" w:space="0" w:color="auto"/>
        <w:right w:val="none" w:sz="0" w:space="0" w:color="auto"/>
      </w:divBdr>
    </w:div>
    <w:div w:id="1702588742">
      <w:bodyDiv w:val="1"/>
      <w:marLeft w:val="0"/>
      <w:marRight w:val="0"/>
      <w:marTop w:val="0"/>
      <w:marBottom w:val="0"/>
      <w:divBdr>
        <w:top w:val="none" w:sz="0" w:space="0" w:color="auto"/>
        <w:left w:val="none" w:sz="0" w:space="0" w:color="auto"/>
        <w:bottom w:val="none" w:sz="0" w:space="0" w:color="auto"/>
        <w:right w:val="none" w:sz="0" w:space="0" w:color="auto"/>
      </w:divBdr>
    </w:div>
    <w:div w:id="1712025362">
      <w:bodyDiv w:val="1"/>
      <w:marLeft w:val="0"/>
      <w:marRight w:val="0"/>
      <w:marTop w:val="0"/>
      <w:marBottom w:val="0"/>
      <w:divBdr>
        <w:top w:val="none" w:sz="0" w:space="0" w:color="auto"/>
        <w:left w:val="none" w:sz="0" w:space="0" w:color="auto"/>
        <w:bottom w:val="none" w:sz="0" w:space="0" w:color="auto"/>
        <w:right w:val="none" w:sz="0" w:space="0" w:color="auto"/>
      </w:divBdr>
    </w:div>
    <w:div w:id="1746299830">
      <w:bodyDiv w:val="1"/>
      <w:marLeft w:val="0"/>
      <w:marRight w:val="0"/>
      <w:marTop w:val="0"/>
      <w:marBottom w:val="0"/>
      <w:divBdr>
        <w:top w:val="none" w:sz="0" w:space="0" w:color="auto"/>
        <w:left w:val="none" w:sz="0" w:space="0" w:color="auto"/>
        <w:bottom w:val="none" w:sz="0" w:space="0" w:color="auto"/>
        <w:right w:val="none" w:sz="0" w:space="0" w:color="auto"/>
      </w:divBdr>
    </w:div>
    <w:div w:id="1754861555">
      <w:bodyDiv w:val="1"/>
      <w:marLeft w:val="0"/>
      <w:marRight w:val="0"/>
      <w:marTop w:val="0"/>
      <w:marBottom w:val="0"/>
      <w:divBdr>
        <w:top w:val="none" w:sz="0" w:space="0" w:color="auto"/>
        <w:left w:val="none" w:sz="0" w:space="0" w:color="auto"/>
        <w:bottom w:val="none" w:sz="0" w:space="0" w:color="auto"/>
        <w:right w:val="none" w:sz="0" w:space="0" w:color="auto"/>
      </w:divBdr>
    </w:div>
    <w:div w:id="1775325093">
      <w:bodyDiv w:val="1"/>
      <w:marLeft w:val="0"/>
      <w:marRight w:val="0"/>
      <w:marTop w:val="0"/>
      <w:marBottom w:val="0"/>
      <w:divBdr>
        <w:top w:val="none" w:sz="0" w:space="0" w:color="auto"/>
        <w:left w:val="none" w:sz="0" w:space="0" w:color="auto"/>
        <w:bottom w:val="none" w:sz="0" w:space="0" w:color="auto"/>
        <w:right w:val="none" w:sz="0" w:space="0" w:color="auto"/>
      </w:divBdr>
    </w:div>
    <w:div w:id="1782724110">
      <w:bodyDiv w:val="1"/>
      <w:marLeft w:val="0"/>
      <w:marRight w:val="0"/>
      <w:marTop w:val="0"/>
      <w:marBottom w:val="0"/>
      <w:divBdr>
        <w:top w:val="none" w:sz="0" w:space="0" w:color="auto"/>
        <w:left w:val="none" w:sz="0" w:space="0" w:color="auto"/>
        <w:bottom w:val="none" w:sz="0" w:space="0" w:color="auto"/>
        <w:right w:val="none" w:sz="0" w:space="0" w:color="auto"/>
      </w:divBdr>
    </w:div>
    <w:div w:id="1805584964">
      <w:bodyDiv w:val="1"/>
      <w:marLeft w:val="0"/>
      <w:marRight w:val="0"/>
      <w:marTop w:val="0"/>
      <w:marBottom w:val="0"/>
      <w:divBdr>
        <w:top w:val="none" w:sz="0" w:space="0" w:color="auto"/>
        <w:left w:val="none" w:sz="0" w:space="0" w:color="auto"/>
        <w:bottom w:val="none" w:sz="0" w:space="0" w:color="auto"/>
        <w:right w:val="none" w:sz="0" w:space="0" w:color="auto"/>
      </w:divBdr>
    </w:div>
    <w:div w:id="1860583864">
      <w:bodyDiv w:val="1"/>
      <w:marLeft w:val="0"/>
      <w:marRight w:val="0"/>
      <w:marTop w:val="0"/>
      <w:marBottom w:val="0"/>
      <w:divBdr>
        <w:top w:val="none" w:sz="0" w:space="0" w:color="auto"/>
        <w:left w:val="none" w:sz="0" w:space="0" w:color="auto"/>
        <w:bottom w:val="none" w:sz="0" w:space="0" w:color="auto"/>
        <w:right w:val="none" w:sz="0" w:space="0" w:color="auto"/>
      </w:divBdr>
    </w:div>
    <w:div w:id="1905484172">
      <w:bodyDiv w:val="1"/>
      <w:marLeft w:val="0"/>
      <w:marRight w:val="0"/>
      <w:marTop w:val="0"/>
      <w:marBottom w:val="0"/>
      <w:divBdr>
        <w:top w:val="none" w:sz="0" w:space="0" w:color="auto"/>
        <w:left w:val="none" w:sz="0" w:space="0" w:color="auto"/>
        <w:bottom w:val="none" w:sz="0" w:space="0" w:color="auto"/>
        <w:right w:val="none" w:sz="0" w:space="0" w:color="auto"/>
      </w:divBdr>
    </w:div>
    <w:div w:id="1934851526">
      <w:bodyDiv w:val="1"/>
      <w:marLeft w:val="0"/>
      <w:marRight w:val="0"/>
      <w:marTop w:val="0"/>
      <w:marBottom w:val="0"/>
      <w:divBdr>
        <w:top w:val="none" w:sz="0" w:space="0" w:color="auto"/>
        <w:left w:val="none" w:sz="0" w:space="0" w:color="auto"/>
        <w:bottom w:val="none" w:sz="0" w:space="0" w:color="auto"/>
        <w:right w:val="none" w:sz="0" w:space="0" w:color="auto"/>
      </w:divBdr>
    </w:div>
    <w:div w:id="1948809239">
      <w:bodyDiv w:val="1"/>
      <w:marLeft w:val="0"/>
      <w:marRight w:val="0"/>
      <w:marTop w:val="0"/>
      <w:marBottom w:val="0"/>
      <w:divBdr>
        <w:top w:val="none" w:sz="0" w:space="0" w:color="auto"/>
        <w:left w:val="none" w:sz="0" w:space="0" w:color="auto"/>
        <w:bottom w:val="none" w:sz="0" w:space="0" w:color="auto"/>
        <w:right w:val="none" w:sz="0" w:space="0" w:color="auto"/>
      </w:divBdr>
    </w:div>
    <w:div w:id="1952665825">
      <w:bodyDiv w:val="1"/>
      <w:marLeft w:val="0"/>
      <w:marRight w:val="0"/>
      <w:marTop w:val="0"/>
      <w:marBottom w:val="0"/>
      <w:divBdr>
        <w:top w:val="none" w:sz="0" w:space="0" w:color="auto"/>
        <w:left w:val="none" w:sz="0" w:space="0" w:color="auto"/>
        <w:bottom w:val="none" w:sz="0" w:space="0" w:color="auto"/>
        <w:right w:val="none" w:sz="0" w:space="0" w:color="auto"/>
      </w:divBdr>
      <w:divsChild>
        <w:div w:id="1859343179">
          <w:marLeft w:val="0"/>
          <w:marRight w:val="0"/>
          <w:marTop w:val="0"/>
          <w:marBottom w:val="0"/>
          <w:divBdr>
            <w:top w:val="none" w:sz="0" w:space="0" w:color="auto"/>
            <w:left w:val="none" w:sz="0" w:space="0" w:color="auto"/>
            <w:bottom w:val="none" w:sz="0" w:space="0" w:color="auto"/>
            <w:right w:val="none" w:sz="0" w:space="0" w:color="auto"/>
          </w:divBdr>
          <w:divsChild>
            <w:div w:id="860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720">
      <w:bodyDiv w:val="1"/>
      <w:marLeft w:val="0"/>
      <w:marRight w:val="0"/>
      <w:marTop w:val="0"/>
      <w:marBottom w:val="0"/>
      <w:divBdr>
        <w:top w:val="none" w:sz="0" w:space="0" w:color="auto"/>
        <w:left w:val="none" w:sz="0" w:space="0" w:color="auto"/>
        <w:bottom w:val="none" w:sz="0" w:space="0" w:color="auto"/>
        <w:right w:val="none" w:sz="0" w:space="0" w:color="auto"/>
      </w:divBdr>
    </w:div>
    <w:div w:id="1978610293">
      <w:bodyDiv w:val="1"/>
      <w:marLeft w:val="0"/>
      <w:marRight w:val="0"/>
      <w:marTop w:val="0"/>
      <w:marBottom w:val="0"/>
      <w:divBdr>
        <w:top w:val="none" w:sz="0" w:space="0" w:color="auto"/>
        <w:left w:val="none" w:sz="0" w:space="0" w:color="auto"/>
        <w:bottom w:val="none" w:sz="0" w:space="0" w:color="auto"/>
        <w:right w:val="none" w:sz="0" w:space="0" w:color="auto"/>
      </w:divBdr>
    </w:div>
    <w:div w:id="1993899586">
      <w:bodyDiv w:val="1"/>
      <w:marLeft w:val="0"/>
      <w:marRight w:val="0"/>
      <w:marTop w:val="0"/>
      <w:marBottom w:val="0"/>
      <w:divBdr>
        <w:top w:val="none" w:sz="0" w:space="0" w:color="auto"/>
        <w:left w:val="none" w:sz="0" w:space="0" w:color="auto"/>
        <w:bottom w:val="none" w:sz="0" w:space="0" w:color="auto"/>
        <w:right w:val="none" w:sz="0" w:space="0" w:color="auto"/>
      </w:divBdr>
    </w:div>
    <w:div w:id="2004776945">
      <w:bodyDiv w:val="1"/>
      <w:marLeft w:val="0"/>
      <w:marRight w:val="0"/>
      <w:marTop w:val="0"/>
      <w:marBottom w:val="0"/>
      <w:divBdr>
        <w:top w:val="none" w:sz="0" w:space="0" w:color="auto"/>
        <w:left w:val="none" w:sz="0" w:space="0" w:color="auto"/>
        <w:bottom w:val="none" w:sz="0" w:space="0" w:color="auto"/>
        <w:right w:val="none" w:sz="0" w:space="0" w:color="auto"/>
      </w:divBdr>
    </w:div>
    <w:div w:id="2021735325">
      <w:bodyDiv w:val="1"/>
      <w:marLeft w:val="0"/>
      <w:marRight w:val="0"/>
      <w:marTop w:val="0"/>
      <w:marBottom w:val="0"/>
      <w:divBdr>
        <w:top w:val="none" w:sz="0" w:space="0" w:color="auto"/>
        <w:left w:val="none" w:sz="0" w:space="0" w:color="auto"/>
        <w:bottom w:val="none" w:sz="0" w:space="0" w:color="auto"/>
        <w:right w:val="none" w:sz="0" w:space="0" w:color="auto"/>
      </w:divBdr>
      <w:divsChild>
        <w:div w:id="148711203">
          <w:marLeft w:val="0"/>
          <w:marRight w:val="0"/>
          <w:marTop w:val="0"/>
          <w:marBottom w:val="0"/>
          <w:divBdr>
            <w:top w:val="none" w:sz="0" w:space="0" w:color="auto"/>
            <w:left w:val="none" w:sz="0" w:space="0" w:color="auto"/>
            <w:bottom w:val="none" w:sz="0" w:space="0" w:color="auto"/>
            <w:right w:val="none" w:sz="0" w:space="0" w:color="auto"/>
          </w:divBdr>
        </w:div>
        <w:div w:id="222062079">
          <w:marLeft w:val="0"/>
          <w:marRight w:val="0"/>
          <w:marTop w:val="0"/>
          <w:marBottom w:val="0"/>
          <w:divBdr>
            <w:top w:val="none" w:sz="0" w:space="0" w:color="auto"/>
            <w:left w:val="none" w:sz="0" w:space="0" w:color="auto"/>
            <w:bottom w:val="none" w:sz="0" w:space="0" w:color="auto"/>
            <w:right w:val="none" w:sz="0" w:space="0" w:color="auto"/>
          </w:divBdr>
        </w:div>
        <w:div w:id="1928076199">
          <w:marLeft w:val="0"/>
          <w:marRight w:val="0"/>
          <w:marTop w:val="0"/>
          <w:marBottom w:val="0"/>
          <w:divBdr>
            <w:top w:val="none" w:sz="0" w:space="0" w:color="auto"/>
            <w:left w:val="none" w:sz="0" w:space="0" w:color="auto"/>
            <w:bottom w:val="none" w:sz="0" w:space="0" w:color="auto"/>
            <w:right w:val="none" w:sz="0" w:space="0" w:color="auto"/>
          </w:divBdr>
        </w:div>
        <w:div w:id="2020349116">
          <w:marLeft w:val="0"/>
          <w:marRight w:val="0"/>
          <w:marTop w:val="0"/>
          <w:marBottom w:val="0"/>
          <w:divBdr>
            <w:top w:val="none" w:sz="0" w:space="0" w:color="auto"/>
            <w:left w:val="none" w:sz="0" w:space="0" w:color="auto"/>
            <w:bottom w:val="none" w:sz="0" w:space="0" w:color="auto"/>
            <w:right w:val="none" w:sz="0" w:space="0" w:color="auto"/>
          </w:divBdr>
        </w:div>
      </w:divsChild>
    </w:div>
    <w:div w:id="2045665906">
      <w:bodyDiv w:val="1"/>
      <w:marLeft w:val="0"/>
      <w:marRight w:val="0"/>
      <w:marTop w:val="0"/>
      <w:marBottom w:val="0"/>
      <w:divBdr>
        <w:top w:val="none" w:sz="0" w:space="0" w:color="auto"/>
        <w:left w:val="none" w:sz="0" w:space="0" w:color="auto"/>
        <w:bottom w:val="none" w:sz="0" w:space="0" w:color="auto"/>
        <w:right w:val="none" w:sz="0" w:space="0" w:color="auto"/>
      </w:divBdr>
    </w:div>
    <w:div w:id="2097360962">
      <w:bodyDiv w:val="1"/>
      <w:marLeft w:val="0"/>
      <w:marRight w:val="0"/>
      <w:marTop w:val="0"/>
      <w:marBottom w:val="0"/>
      <w:divBdr>
        <w:top w:val="none" w:sz="0" w:space="0" w:color="auto"/>
        <w:left w:val="none" w:sz="0" w:space="0" w:color="auto"/>
        <w:bottom w:val="none" w:sz="0" w:space="0" w:color="auto"/>
        <w:right w:val="none" w:sz="0" w:space="0" w:color="auto"/>
      </w:divBdr>
    </w:div>
    <w:div w:id="21133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A071B2E-7F20-4649-A2F2-A6B3DD86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9467</Words>
  <Characters>53492</Characters>
  <Application>Microsoft Office Word</Application>
  <DocSecurity>0</DocSecurity>
  <Lines>835</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2019-03-12T12:56:00Z</dcterms:created>
  <dcterms:modified xsi:type="dcterms:W3CDTF">2019-03-12T15:38:00Z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Created using">
    <vt:lpwstr>LW 6.0.1, Build 20180503</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ies>
</file>