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A4" w:rsidRDefault="00A5441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471E116-BD1D-4807-80A5-C04F428D4AB7" style="width:450.75pt;height:307.5pt">
            <v:imagedata r:id="rId8" o:title=""/>
          </v:shape>
        </w:pict>
      </w:r>
    </w:p>
    <w:bookmarkEnd w:id="0"/>
    <w:p w:rsidR="00117FA4" w:rsidRDefault="00117FA4">
      <w:pPr>
        <w:rPr>
          <w:noProof/>
        </w:rPr>
        <w:sectPr w:rsidR="00117FA4">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rsidR="00117FA4" w:rsidRDefault="00A54415">
      <w:pPr>
        <w:pStyle w:val="ListParagraph"/>
        <w:numPr>
          <w:ilvl w:val="0"/>
          <w:numId w:val="2"/>
        </w:numPr>
        <w:jc w:val="both"/>
        <w:rPr>
          <w:rFonts w:ascii="Times New Roman" w:hAnsi="Times New Roman"/>
          <w:b/>
          <w:noProof/>
          <w:sz w:val="24"/>
          <w:szCs w:val="24"/>
        </w:rPr>
      </w:pPr>
      <w:r>
        <w:rPr>
          <w:rFonts w:ascii="Times New Roman" w:hAnsi="Times New Roman"/>
          <w:b/>
          <w:noProof/>
          <w:sz w:val="24"/>
        </w:rPr>
        <w:lastRenderedPageBreak/>
        <w:t>UVOD</w:t>
      </w:r>
    </w:p>
    <w:p w:rsidR="00117FA4" w:rsidRDefault="00117FA4">
      <w:pPr>
        <w:jc w:val="both"/>
        <w:rPr>
          <w:rFonts w:ascii="Times New Roman" w:hAnsi="Times New Roman"/>
          <w:b/>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 xml:space="preserve">EU si je v zadnjih štirih letih izjemno prizadevala za razrešitev izziva migracij, kar je prispevalo k zmanjšanju nedovoljenih prihodov </w:t>
      </w:r>
      <w:r>
        <w:rPr>
          <w:rFonts w:ascii="Times New Roman" w:hAnsi="Times New Roman"/>
          <w:noProof/>
          <w:color w:val="000000"/>
          <w:sz w:val="24"/>
        </w:rPr>
        <w:t>na najnižjo raven v petletnem obdobju. Omogočala je zaščito in podporo milijonom ljudi, reševala življenja na morju ter izboljševala pogoje in možnosti za preživetje. S podporo državam članicam na zunanji meji je nadzorovala veliko število prihodov, s fina</w:t>
      </w:r>
      <w:r>
        <w:rPr>
          <w:rFonts w:ascii="Times New Roman" w:hAnsi="Times New Roman"/>
          <w:noProof/>
          <w:color w:val="000000"/>
          <w:sz w:val="24"/>
        </w:rPr>
        <w:t>nciranjem številnih projektov po EU pa podprla ponovno vključevanje</w:t>
      </w:r>
      <w:r>
        <w:rPr>
          <w:noProof/>
        </w:rPr>
        <w:t xml:space="preserve"> </w:t>
      </w:r>
      <w:r>
        <w:rPr>
          <w:rFonts w:ascii="Times New Roman" w:hAnsi="Times New Roman"/>
          <w:noProof/>
          <w:sz w:val="24"/>
        </w:rPr>
        <w:t>beguncev in drugih državljanov tretjih držav, ki zakonito prebivajo v EU. Prispevala je k preprečevanju nedovoljenih migracij, tudi z bojem proti tihotapskim mrežam in bojem proti trgovini</w:t>
      </w:r>
      <w:r>
        <w:rPr>
          <w:rFonts w:ascii="Times New Roman" w:hAnsi="Times New Roman"/>
          <w:noProof/>
          <w:sz w:val="24"/>
        </w:rPr>
        <w:t xml:space="preserve"> z ljudmi. </w:t>
      </w:r>
      <w:r>
        <w:rPr>
          <w:rFonts w:ascii="Times New Roman" w:hAnsi="Times New Roman"/>
          <w:noProof/>
          <w:color w:val="000000"/>
          <w:sz w:val="24"/>
        </w:rPr>
        <w:t>Sodelovala je s partnerskimi državami po vsem svetu, da bi odpravila temeljne vzroke in spodbudila urejeno upravljanje migracij, vključno s ponovnim sprejemom migrantov brez urejenega statusa za prebivanje v EU. Prizadevala si je za razvoj zakon</w:t>
      </w:r>
      <w:r>
        <w:rPr>
          <w:rFonts w:ascii="Times New Roman" w:hAnsi="Times New Roman"/>
          <w:noProof/>
          <w:color w:val="000000"/>
          <w:sz w:val="24"/>
        </w:rPr>
        <w:t>itih poti kot alternative za nevarne tihotapske poti. V zvezi s tem so bila kot del celovitega pristopa sprejeta vsa področja evropske agende o migracijah iz leta 2015</w:t>
      </w:r>
      <w:r>
        <w:rPr>
          <w:rStyle w:val="FootnoteReference"/>
          <w:rFonts w:ascii="Times New Roman" w:hAnsi="Times New Roman"/>
          <w:noProof/>
          <w:color w:val="000000"/>
          <w:sz w:val="24"/>
        </w:rPr>
        <w:footnoteReference w:id="2"/>
      </w:r>
      <w:r>
        <w:rPr>
          <w:rFonts w:ascii="Times New Roman" w:hAnsi="Times New Roman"/>
          <w:noProof/>
          <w:color w:val="000000"/>
          <w:sz w:val="24"/>
        </w:rPr>
        <w:t>.</w:t>
      </w:r>
    </w:p>
    <w:p w:rsidR="00117FA4" w:rsidRDefault="00117FA4">
      <w:pPr>
        <w:jc w:val="both"/>
        <w:rPr>
          <w:rFonts w:ascii="Times New Roman" w:hAnsi="Times New Roman"/>
          <w:noProof/>
          <w:color w:val="000000"/>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rsidR="00117FA4">
        <w:tc>
          <w:tcPr>
            <w:tcW w:w="9286" w:type="dxa"/>
          </w:tcPr>
          <w:p w:rsidR="00117FA4" w:rsidRDefault="00A54415">
            <w:pPr>
              <w:pBdr>
                <w:top w:val="single" w:sz="4" w:space="1" w:color="auto"/>
                <w:left w:val="single" w:sz="4" w:space="4" w:color="auto"/>
                <w:bottom w:val="single" w:sz="4" w:space="1" w:color="auto"/>
                <w:right w:val="single" w:sz="4" w:space="4" w:color="auto"/>
              </w:pBd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Ključni napredek v okviru evropske agende o migracijah</w:t>
            </w:r>
          </w:p>
          <w:p w:rsidR="00117FA4" w:rsidRDefault="00A5441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Leta 2018 je bilo na zunanjih mejah EU odkritih približno 150 000 nedovoljenih prihodov, kar pomeni 25-odstotno zmanjšanje v primerjavi z letom 2017. To je bila najnižja raven v petih letih in znaša 90 % manj kot leta 2015, ko je bila migracijska kriza naj</w:t>
            </w:r>
            <w:r>
              <w:rPr>
                <w:rFonts w:ascii="Times New Roman" w:hAnsi="Times New Roman"/>
                <w:noProof/>
                <w:color w:val="000000"/>
                <w:sz w:val="24"/>
              </w:rPr>
              <w:t xml:space="preserve">večja. </w:t>
            </w:r>
          </w:p>
          <w:p w:rsidR="00117FA4" w:rsidRDefault="00A5441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Ukrepanje EU od leta 2015 je prispevalo k temu, da je bilo na morju rešenih skoraj 730 000 ljudi.</w:t>
            </w:r>
          </w:p>
          <w:p w:rsidR="00117FA4" w:rsidRDefault="00A5441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Milijoni prosilcev za azil, beguncev in razseljenih oseb so imeli koristi od programov, ki jih je financiral nujni skrbniški sklad EU za Afriko</w:t>
            </w:r>
            <w:r>
              <w:rPr>
                <w:rStyle w:val="FootnoteReference"/>
                <w:rFonts w:ascii="Times New Roman" w:hAnsi="Times New Roman"/>
                <w:noProof/>
                <w:color w:val="000000"/>
                <w:sz w:val="24"/>
              </w:rPr>
              <w:footnoteReference w:id="3"/>
            </w:r>
            <w:r>
              <w:rPr>
                <w:rFonts w:ascii="Times New Roman" w:hAnsi="Times New Roman"/>
                <w:noProof/>
                <w:color w:val="000000"/>
                <w:sz w:val="24"/>
              </w:rPr>
              <w:t xml:space="preserve">, saj </w:t>
            </w:r>
            <w:r>
              <w:rPr>
                <w:rFonts w:ascii="Times New Roman" w:hAnsi="Times New Roman"/>
                <w:noProof/>
                <w:color w:val="000000"/>
                <w:sz w:val="24"/>
              </w:rPr>
              <w:t>je več kot 5,3 milijona ranljivih oseb prejelo osnovno podporo, komunikacijske kampanje so dosegle skoraj milijon ljudi in več kot 60 000 ljudi se je po vrnitvi lahko ponovno vključilo v družbo.</w:t>
            </w:r>
          </w:p>
          <w:p w:rsidR="00117FA4" w:rsidRDefault="00A5441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sz w:val="24"/>
              </w:rPr>
              <w:t>Skrbniški sklad za Afriko je bil prav tako ključnega pomena z</w:t>
            </w:r>
            <w:r>
              <w:rPr>
                <w:rFonts w:ascii="Times New Roman" w:hAnsi="Times New Roman"/>
                <w:noProof/>
                <w:sz w:val="24"/>
              </w:rPr>
              <w:t xml:space="preserve">a prostovoljno humanitarno vračanje več kot 37 000 ranljivih migrantov iz Libije v njihove države izvora od začetka leta 2017. </w:t>
            </w:r>
          </w:p>
          <w:p w:rsidR="00117FA4" w:rsidRDefault="00A5441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Ukrepanje je bilo osredotočeno na mreže za tihotapljenje migrantov: samo leta 2018 je Evropski center za boj proti tihotapljenju</w:t>
            </w:r>
            <w:r>
              <w:rPr>
                <w:rFonts w:ascii="Times New Roman" w:hAnsi="Times New Roman"/>
                <w:noProof/>
                <w:color w:val="000000"/>
                <w:sz w:val="24"/>
              </w:rPr>
              <w:t xml:space="preserve"> migrantov igral ključno vlogo pri več kot sto prednostnih primerih tihotapljenja. Skupne preiskovalne skupine se spopadajo s tihotapljenjem v državah, kot je Niger.</w:t>
            </w:r>
          </w:p>
          <w:p w:rsidR="00117FA4" w:rsidRDefault="00A5441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Iz Italije in Grčije je bilo premeščenih 34 710 oseb, ki potrebujejo mednarodno zaščito.</w:t>
            </w:r>
            <w:r>
              <w:rPr>
                <w:rFonts w:ascii="Times New Roman" w:hAnsi="Times New Roman"/>
                <w:noProof/>
                <w:color w:val="000000"/>
                <w:sz w:val="24"/>
                <w:highlight w:val="yellow"/>
              </w:rPr>
              <w:t xml:space="preserve"> </w:t>
            </w:r>
          </w:p>
          <w:p w:rsidR="00117FA4" w:rsidRDefault="00A5441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Od leta 2015 je bilo več kot 50 000 oseb, ki potrebujejo mednarodno zaščito, preseljenih v EU.</w:t>
            </w:r>
          </w:p>
          <w:p w:rsidR="00117FA4" w:rsidRDefault="00A5441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V okviru Sklada za azil, migracije in vključevanje je bilo v obdobju 2015–2017 zagotovljenih več kot 140 milijonov EUR v podporo ukrepom o vključevanju in zakoni</w:t>
            </w:r>
            <w:r>
              <w:rPr>
                <w:rFonts w:ascii="Times New Roman" w:hAnsi="Times New Roman"/>
                <w:noProof/>
                <w:color w:val="000000"/>
                <w:sz w:val="24"/>
              </w:rPr>
              <w:t>tih migracijah</w:t>
            </w:r>
            <w:r>
              <w:rPr>
                <w:rStyle w:val="FootnoteReference"/>
                <w:rFonts w:ascii="Times New Roman" w:hAnsi="Times New Roman"/>
                <w:noProof/>
                <w:color w:val="000000"/>
                <w:sz w:val="24"/>
              </w:rPr>
              <w:footnoteReference w:id="4"/>
            </w:r>
            <w:r>
              <w:rPr>
                <w:noProof/>
              </w:rPr>
              <w:t>.</w:t>
            </w:r>
          </w:p>
          <w:p w:rsidR="00117FA4" w:rsidRDefault="00A5441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 xml:space="preserve">Uradni sporazumi o ponovnem sprejemu ali praktični dogovori o vračanju in ponovnem sprejemu so zdaj vzpostavljeni s 23 državami izvora in tranzita. </w:t>
            </w:r>
          </w:p>
          <w:p w:rsidR="00117FA4" w:rsidRDefault="00A5441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noProof/>
              </w:rPr>
            </w:pPr>
            <w:r>
              <w:rPr>
                <w:rFonts w:ascii="Times New Roman" w:hAnsi="Times New Roman"/>
                <w:noProof/>
                <w:color w:val="000000"/>
                <w:sz w:val="24"/>
              </w:rPr>
              <w:t>Hkrati je bilo leta 2018 več kot 80 % humanitarne pomoči EU namenjenih za potrebe prisilno</w:t>
            </w:r>
            <w:r>
              <w:rPr>
                <w:rFonts w:ascii="Times New Roman" w:hAnsi="Times New Roman"/>
                <w:noProof/>
                <w:color w:val="000000"/>
                <w:sz w:val="24"/>
              </w:rPr>
              <w:t xml:space="preserve"> razseljenih oseb</w:t>
            </w:r>
            <w:r>
              <w:rPr>
                <w:rStyle w:val="FootnoteReference"/>
                <w:rFonts w:ascii="Times New Roman" w:hAnsi="Times New Roman"/>
                <w:noProof/>
                <w:color w:val="000000"/>
                <w:sz w:val="24"/>
              </w:rPr>
              <w:footnoteReference w:id="5"/>
            </w:r>
            <w:r>
              <w:rPr>
                <w:noProof/>
              </w:rPr>
              <w:t>.</w:t>
            </w:r>
            <w:r>
              <w:rPr>
                <w:rFonts w:ascii="Times New Roman" w:hAnsi="Times New Roman"/>
                <w:noProof/>
                <w:color w:val="000000"/>
                <w:sz w:val="24"/>
              </w:rPr>
              <w:t xml:space="preserve"> </w:t>
            </w:r>
          </w:p>
        </w:tc>
      </w:tr>
    </w:tbl>
    <w:p w:rsidR="00117FA4" w:rsidRDefault="00A54415">
      <w:pPr>
        <w:tabs>
          <w:tab w:val="left" w:pos="1985"/>
        </w:tabs>
        <w:jc w:val="both"/>
        <w:rPr>
          <w:rFonts w:ascii="Times New Roman" w:hAnsi="Times New Roman"/>
          <w:noProof/>
          <w:color w:val="000000"/>
          <w:sz w:val="24"/>
          <w:szCs w:val="24"/>
        </w:rPr>
      </w:pPr>
      <w:r>
        <w:rPr>
          <w:rFonts w:ascii="Times New Roman" w:hAnsi="Times New Roman"/>
          <w:noProof/>
          <w:color w:val="000000"/>
          <w:sz w:val="24"/>
        </w:rPr>
        <w:lastRenderedPageBreak/>
        <w:t xml:space="preserve">Ta prizadevanja se morajo nadaljevati. Dejstvo, da se je število nedovoljenih prihodov zmanjšalo, ni jamstvo za prihodnost, saj je verjetno, da se bo migracijski pritisk še nadaljeval. Po pričakovanjih je obravnavanje temeljnih </w:t>
      </w:r>
      <w:r>
        <w:rPr>
          <w:rFonts w:ascii="Times New Roman" w:hAnsi="Times New Roman"/>
          <w:noProof/>
          <w:color w:val="000000"/>
          <w:sz w:val="24"/>
        </w:rPr>
        <w:t>vzrokov nedovoljenih migracij dolgoročen projekt, medtem ko nedavno povečanje števila nedovoljenih prihodov po zahodnosredozemski poti kaže, da so razmere še vedno nestabilne in da tihotapci nenehno iščejo nove priložnosti. Ključne težave ostajajo nerešene</w:t>
      </w:r>
      <w:r>
        <w:rPr>
          <w:rFonts w:ascii="Times New Roman" w:hAnsi="Times New Roman"/>
          <w:noProof/>
          <w:color w:val="000000"/>
          <w:sz w:val="24"/>
        </w:rPr>
        <w:t>: razviti moramo azilni sistem, ki bo ustrezal svojemu namenu in ki bo zagotavljal solidarnost in zmanjševal sekundarna gibanja, s pomočjo ukrepov tako v državah članicah kot v tretjih državah moramo izvesti več vrnitev, na naših zunanjih mejah moramo biti</w:t>
      </w:r>
      <w:r>
        <w:rPr>
          <w:rFonts w:ascii="Times New Roman" w:hAnsi="Times New Roman"/>
          <w:noProof/>
          <w:color w:val="000000"/>
          <w:sz w:val="24"/>
        </w:rPr>
        <w:t xml:space="preserve"> bolje pripravljeni, boriti se moramo proti novim strategijam tihotapcev ter še naprej izboljševali varne, urejene in zakonite poti za zakonite priseljence in osebe, ki potrebujejo mednarodno zaščito. Za upravljanje migracij je potrebno trajno, dolgoročno </w:t>
      </w:r>
      <w:r>
        <w:rPr>
          <w:rFonts w:ascii="Times New Roman" w:hAnsi="Times New Roman"/>
          <w:noProof/>
          <w:color w:val="000000"/>
          <w:sz w:val="24"/>
        </w:rPr>
        <w:t>in skupno prizadevanje EU, ki temelji na načelu solidarnosti in pravični delitvi odgovornosti. Bistvenega pomena je, da se od priložnostnih rešitev še naprej pomikamo v smer trajnostnih struktur in učinkovitega pravnega okvira, ki bo kos izzivom prihodnost</w:t>
      </w:r>
      <w:r>
        <w:rPr>
          <w:rFonts w:ascii="Times New Roman" w:hAnsi="Times New Roman"/>
          <w:noProof/>
          <w:color w:val="000000"/>
          <w:sz w:val="24"/>
        </w:rPr>
        <w:t>i. Te cilje je mogoče doseči na podlagi štirih let skupnega sodelovanja</w:t>
      </w:r>
      <w:r>
        <w:rPr>
          <w:rStyle w:val="FootnoteReference"/>
          <w:rFonts w:ascii="Times New Roman" w:hAnsi="Times New Roman"/>
          <w:noProof/>
          <w:color w:val="000000"/>
          <w:sz w:val="24"/>
        </w:rPr>
        <w:footnoteReference w:id="6"/>
      </w:r>
      <w:r>
        <w:rPr>
          <w:noProof/>
        </w:rPr>
        <w:t>.</w:t>
      </w:r>
    </w:p>
    <w:p w:rsidR="00117FA4" w:rsidRDefault="00117FA4">
      <w:pPr>
        <w:jc w:val="both"/>
        <w:rPr>
          <w:rFonts w:ascii="Times New Roman" w:hAnsi="Times New Roman"/>
          <w:noProof/>
          <w:color w:val="000000"/>
          <w:sz w:val="24"/>
          <w:szCs w:val="24"/>
        </w:rPr>
      </w:pPr>
    </w:p>
    <w:p w:rsidR="00117FA4" w:rsidRDefault="00A54415">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Kadar so EU in države članice ukrepale enotno, se je zaradi poglobitve sodelovanja s ključnimi partnerskimi državami, kot sta Turčija in Niger, znatno zmanjšalo število nedovoljenih</w:t>
      </w:r>
      <w:r>
        <w:rPr>
          <w:rFonts w:ascii="Times New Roman" w:hAnsi="Times New Roman"/>
          <w:noProof/>
          <w:color w:val="000000"/>
          <w:sz w:val="24"/>
        </w:rPr>
        <w:t xml:space="preserve"> prihodov. Skupni ukrepi so bili učinkoviti v boju proti tihotapljenju migrantov, pri iskanju alternativnih zakonitih poti in pri sklepanju šestih novih dogovorov o ponovnem sprejemu s ključnimi državami izvora. Sodelovanje z Afriko in Afriško unijo je dos</w:t>
      </w:r>
      <w:r>
        <w:rPr>
          <w:rFonts w:ascii="Times New Roman" w:hAnsi="Times New Roman"/>
          <w:noProof/>
          <w:color w:val="000000"/>
          <w:sz w:val="24"/>
        </w:rPr>
        <w:t xml:space="preserve">eglo nove ravni. </w:t>
      </w:r>
    </w:p>
    <w:p w:rsidR="00117FA4" w:rsidRDefault="00117FA4">
      <w:pPr>
        <w:pStyle w:val="ListParagraph"/>
        <w:ind w:left="0"/>
        <w:jc w:val="both"/>
        <w:rPr>
          <w:rFonts w:ascii="Times New Roman" w:hAnsi="Times New Roman"/>
          <w:noProof/>
          <w:color w:val="000000"/>
          <w:sz w:val="24"/>
          <w:szCs w:val="24"/>
        </w:rPr>
      </w:pPr>
    </w:p>
    <w:p w:rsidR="00117FA4" w:rsidRDefault="00A54415">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Vse te pobude že prinašajo rezultate in z njimi je mogoče doseči še več. Bistvenega pomena je, da se doseže celovit pristop, določen v štirih stebrih evropske agende o migracijah, in vzpostavi trajen okvir.</w:t>
      </w:r>
    </w:p>
    <w:p w:rsidR="00117FA4" w:rsidRDefault="00117FA4">
      <w:pPr>
        <w:pStyle w:val="ListParagraph"/>
        <w:ind w:left="0"/>
        <w:jc w:val="both"/>
        <w:rPr>
          <w:rFonts w:ascii="Times New Roman" w:hAnsi="Times New Roman"/>
          <w:noProof/>
          <w:color w:val="000000"/>
          <w:sz w:val="24"/>
          <w:szCs w:val="24"/>
        </w:rPr>
      </w:pPr>
    </w:p>
    <w:p w:rsidR="00117FA4" w:rsidRDefault="00117FA4">
      <w:pPr>
        <w:pStyle w:val="ListParagraph"/>
        <w:ind w:left="0"/>
        <w:jc w:val="both"/>
        <w:rPr>
          <w:rFonts w:ascii="Times New Roman" w:hAnsi="Times New Roman"/>
          <w:noProof/>
          <w:color w:val="000000"/>
          <w:sz w:val="24"/>
          <w:szCs w:val="24"/>
        </w:rPr>
      </w:pPr>
    </w:p>
    <w:p w:rsidR="00117FA4" w:rsidRDefault="00A54415">
      <w:pPr>
        <w:pStyle w:val="ListParagraph"/>
        <w:numPr>
          <w:ilvl w:val="0"/>
          <w:numId w:val="2"/>
        </w:numPr>
        <w:jc w:val="both"/>
        <w:rPr>
          <w:rFonts w:ascii="Times New Roman" w:hAnsi="Times New Roman"/>
          <w:b/>
          <w:noProof/>
          <w:sz w:val="24"/>
          <w:szCs w:val="24"/>
        </w:rPr>
      </w:pPr>
      <w:r>
        <w:rPr>
          <w:rFonts w:ascii="Times New Roman" w:hAnsi="Times New Roman"/>
          <w:b/>
          <w:noProof/>
          <w:sz w:val="24"/>
        </w:rPr>
        <w:t>DANAŠNJE STANJE</w:t>
      </w:r>
    </w:p>
    <w:p w:rsidR="00117FA4" w:rsidRDefault="00117FA4">
      <w:pPr>
        <w:jc w:val="both"/>
        <w:rPr>
          <w:rFonts w:ascii="Times New Roman" w:hAnsi="Times New Roman"/>
          <w:i/>
          <w:noProof/>
          <w:sz w:val="24"/>
          <w:szCs w:val="24"/>
        </w:rPr>
      </w:pPr>
    </w:p>
    <w:p w:rsidR="00117FA4" w:rsidRDefault="00A54415">
      <w:pPr>
        <w:keepNext/>
        <w:spacing w:after="120"/>
        <w:jc w:val="both"/>
        <w:rPr>
          <w:rFonts w:ascii="Times New Roman" w:hAnsi="Times New Roman"/>
          <w:i/>
          <w:noProof/>
          <w:sz w:val="24"/>
          <w:szCs w:val="24"/>
        </w:rPr>
      </w:pPr>
      <w:r>
        <w:rPr>
          <w:rFonts w:ascii="Times New Roman" w:hAnsi="Times New Roman"/>
          <w:i/>
          <w:noProof/>
          <w:sz w:val="24"/>
        </w:rPr>
        <w:t>Nedovoljeni</w:t>
      </w:r>
      <w:r>
        <w:rPr>
          <w:rFonts w:ascii="Times New Roman" w:hAnsi="Times New Roman"/>
          <w:i/>
          <w:noProof/>
          <w:sz w:val="24"/>
        </w:rPr>
        <w:t xml:space="preserve"> prihodi</w:t>
      </w:r>
    </w:p>
    <w:p w:rsidR="00117FA4" w:rsidRDefault="00A54415">
      <w:pPr>
        <w:spacing w:after="120"/>
        <w:jc w:val="both"/>
        <w:rPr>
          <w:rFonts w:ascii="Times New Roman" w:hAnsi="Times New Roman"/>
          <w:noProof/>
          <w:sz w:val="24"/>
          <w:szCs w:val="24"/>
        </w:rPr>
      </w:pPr>
      <w:r>
        <w:rPr>
          <w:rFonts w:ascii="Times New Roman" w:hAnsi="Times New Roman"/>
          <w:noProof/>
          <w:sz w:val="24"/>
        </w:rPr>
        <w:t>Današnje razmere kažejo, da se število nedovoljenih prihodov od leta 2015, ko je bilo najvišje, še naprej močno zmanjšuje</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Vendar pa so se nekateri trendi nadaljevali tudi leta 2018 in v začetku leta 2019 ter pokazali potrebo po trajnih ukrepih i</w:t>
      </w:r>
      <w:r>
        <w:rPr>
          <w:rFonts w:ascii="Times New Roman" w:hAnsi="Times New Roman"/>
          <w:noProof/>
          <w:sz w:val="24"/>
        </w:rPr>
        <w:t xml:space="preserve">n odzivanju na spreminjajoče se okoliščine. </w:t>
      </w:r>
    </w:p>
    <w:p w:rsidR="00117FA4" w:rsidRDefault="00A54415">
      <w:pPr>
        <w:spacing w:after="200" w:line="276" w:lineRule="auto"/>
        <w:rPr>
          <w:rFonts w:ascii="Times New Roman" w:hAnsi="Times New Roman"/>
          <w:i/>
          <w:noProof/>
          <w:sz w:val="24"/>
          <w:szCs w:val="24"/>
        </w:rPr>
      </w:pPr>
      <w:r>
        <w:rPr>
          <w:noProof/>
        </w:rPr>
        <w:br w:type="page"/>
      </w:r>
    </w:p>
    <w:p w:rsidR="00117FA4" w:rsidRDefault="00117FA4">
      <w:pPr>
        <w:jc w:val="center"/>
        <w:rPr>
          <w:rFonts w:ascii="Times New Roman" w:hAnsi="Times New Roman"/>
          <w:i/>
          <w:noProof/>
          <w:sz w:val="24"/>
          <w:szCs w:val="24"/>
        </w:rPr>
      </w:pPr>
    </w:p>
    <w:p w:rsidR="00117FA4" w:rsidRDefault="00A54415">
      <w:pPr>
        <w:spacing w:after="360"/>
        <w:jc w:val="center"/>
        <w:rPr>
          <w:rFonts w:ascii="Times New Roman" w:hAnsi="Times New Roman"/>
          <w:i/>
          <w:noProof/>
          <w:sz w:val="24"/>
        </w:rPr>
      </w:pPr>
      <w:r>
        <w:rPr>
          <w:rFonts w:ascii="Times New Roman" w:hAnsi="Times New Roman"/>
          <w:i/>
          <w:noProof/>
          <w:sz w:val="24"/>
        </w:rPr>
        <w:t>Nedovoljeni prehodi meje na treh glavnih poteh</w:t>
      </w:r>
    </w:p>
    <w:p w:rsidR="00117FA4" w:rsidRDefault="00A54415">
      <w:pPr>
        <w:spacing w:after="360"/>
        <w:jc w:val="center"/>
        <w:rPr>
          <w:rFonts w:ascii="Times New Roman" w:hAnsi="Times New Roman"/>
          <w:i/>
          <w:noProof/>
          <w:sz w:val="24"/>
          <w:szCs w:val="24"/>
        </w:rPr>
      </w:pPr>
      <w:r>
        <w:rPr>
          <w:noProof/>
          <w:lang w:val="en-GB" w:eastAsia="en-GB" w:bidi="ar-SA"/>
        </w:rPr>
        <w:drawing>
          <wp:inline distT="0" distB="0" distL="0" distR="0">
            <wp:extent cx="5759450" cy="3029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9450" cy="3029130"/>
                    </a:xfrm>
                    <a:prstGeom prst="rect">
                      <a:avLst/>
                    </a:prstGeom>
                  </pic:spPr>
                </pic:pic>
              </a:graphicData>
            </a:graphic>
          </wp:inline>
        </w:drawing>
      </w:r>
    </w:p>
    <w:p w:rsidR="00117FA4" w:rsidRDefault="00117FA4">
      <w:pPr>
        <w:spacing w:after="120"/>
        <w:jc w:val="both"/>
        <w:rPr>
          <w:rFonts w:ascii="Times New Roman" w:hAnsi="Times New Roman"/>
          <w:noProof/>
          <w:sz w:val="24"/>
          <w:szCs w:val="24"/>
        </w:rPr>
      </w:pPr>
    </w:p>
    <w:p w:rsidR="00117FA4" w:rsidRDefault="00117FA4">
      <w:pPr>
        <w:spacing w:after="120"/>
        <w:jc w:val="both"/>
        <w:rPr>
          <w:rFonts w:ascii="Times New Roman" w:hAnsi="Times New Roman"/>
          <w:noProof/>
          <w:sz w:val="24"/>
          <w:szCs w:val="24"/>
        </w:rPr>
      </w:pPr>
    </w:p>
    <w:p w:rsidR="00117FA4" w:rsidRDefault="00A54415">
      <w:pPr>
        <w:pStyle w:val="ListParagraph"/>
        <w:numPr>
          <w:ilvl w:val="0"/>
          <w:numId w:val="5"/>
        </w:numPr>
        <w:spacing w:after="120"/>
        <w:ind w:left="426" w:hanging="284"/>
        <w:contextualSpacing w:val="0"/>
        <w:jc w:val="both"/>
        <w:rPr>
          <w:rFonts w:ascii="Times New Roman" w:hAnsi="Times New Roman"/>
          <w:i/>
          <w:noProof/>
          <w:color w:val="000000"/>
          <w:sz w:val="24"/>
          <w:szCs w:val="24"/>
        </w:rPr>
      </w:pPr>
      <w:r>
        <w:rPr>
          <w:rFonts w:ascii="Times New Roman" w:hAnsi="Times New Roman"/>
          <w:noProof/>
          <w:sz w:val="24"/>
        </w:rPr>
        <w:t xml:space="preserve">Na </w:t>
      </w:r>
      <w:r>
        <w:rPr>
          <w:rFonts w:ascii="Times New Roman" w:hAnsi="Times New Roman"/>
          <w:i/>
          <w:noProof/>
          <w:sz w:val="24"/>
        </w:rPr>
        <w:t>zahodnosredozemski/atlantski</w:t>
      </w:r>
      <w:r>
        <w:rPr>
          <w:rFonts w:ascii="Times New Roman" w:hAnsi="Times New Roman"/>
          <w:noProof/>
          <w:sz w:val="24"/>
        </w:rPr>
        <w:t xml:space="preserve"> poti se je lansko leto število prihodov povečalo in ostalo na visoki ravni. Skupno število prihodov v Španijo leta 2018 (skoraj 65 000 oseb) je bilo za 131 % večje kot leta 2017, ta trend pa se je nadaljeval tudi leta 2019</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Leta 2018 je bilo med prišleki</w:t>
      </w:r>
      <w:r>
        <w:rPr>
          <w:rFonts w:ascii="Times New Roman" w:hAnsi="Times New Roman"/>
          <w:noProof/>
          <w:sz w:val="24"/>
        </w:rPr>
        <w:t xml:space="preserve"> v Španijo največ Maročanov (petina vseh prehodov meje), sledili pa so jim državljani zahodnoafriških držav (Gvineje, Malija, Slonokoščene obale in Gambije) ter Alžirije.</w:t>
      </w:r>
    </w:p>
    <w:p w:rsidR="00117FA4" w:rsidRDefault="00A54415">
      <w:pPr>
        <w:pStyle w:val="ListParagraph"/>
        <w:numPr>
          <w:ilvl w:val="0"/>
          <w:numId w:val="5"/>
        </w:numPr>
        <w:spacing w:after="120"/>
        <w:ind w:left="426" w:hanging="284"/>
        <w:contextualSpacing w:val="0"/>
        <w:jc w:val="both"/>
        <w:rPr>
          <w:rFonts w:ascii="Times New Roman" w:hAnsi="Times New Roman"/>
          <w:noProof/>
          <w:sz w:val="24"/>
          <w:szCs w:val="24"/>
        </w:rPr>
      </w:pPr>
      <w:r>
        <w:rPr>
          <w:rFonts w:ascii="Times New Roman" w:hAnsi="Times New Roman"/>
          <w:noProof/>
          <w:sz w:val="24"/>
        </w:rPr>
        <w:t xml:space="preserve">Na </w:t>
      </w:r>
      <w:r>
        <w:rPr>
          <w:rFonts w:ascii="Times New Roman" w:hAnsi="Times New Roman"/>
          <w:i/>
          <w:noProof/>
          <w:sz w:val="24"/>
        </w:rPr>
        <w:t>osrednjesredozemski</w:t>
      </w:r>
      <w:r>
        <w:rPr>
          <w:rFonts w:ascii="Times New Roman" w:hAnsi="Times New Roman"/>
          <w:noProof/>
          <w:sz w:val="24"/>
        </w:rPr>
        <w:t xml:space="preserve"> poti število nedovoljenih prihodov ostaja nizko. Na splošno se</w:t>
      </w:r>
      <w:r>
        <w:rPr>
          <w:rFonts w:ascii="Times New Roman" w:hAnsi="Times New Roman"/>
          <w:noProof/>
          <w:sz w:val="24"/>
        </w:rPr>
        <w:t xml:space="preserve"> je število nedovoljenih prihodov v Italijo leta 2018 v primerjavi z letom 2017 zmanjšalo za 80 %, ta trend pa se je leta 2019 nadaljeval in se zmanjšal na raven pred krizo. Čeprav je Libija leta 2018 še vedno predstavljala več kot polovico odhodov, libijs</w:t>
      </w:r>
      <w:r>
        <w:rPr>
          <w:rFonts w:ascii="Times New Roman" w:hAnsi="Times New Roman"/>
          <w:noProof/>
          <w:sz w:val="24"/>
        </w:rPr>
        <w:t>ka obalna straža še naprej prestreza ali rešuje številne ljudi na morju – približno 15 000 odhodov leta 2018, od katerih je bilo največ Sudancev (14 %), Nigerijcev (12 %) in Eritrejcev (12 %)</w:t>
      </w:r>
      <w:r>
        <w:rPr>
          <w:rStyle w:val="FootnoteReference"/>
          <w:rFonts w:ascii="Times New Roman" w:hAnsi="Times New Roman"/>
          <w:noProof/>
          <w:sz w:val="24"/>
        </w:rPr>
        <w:footnoteReference w:id="9"/>
      </w:r>
      <w:r>
        <w:rPr>
          <w:noProof/>
        </w:rPr>
        <w:t>.</w:t>
      </w:r>
      <w:r>
        <w:rPr>
          <w:rFonts w:ascii="Times New Roman" w:hAnsi="Times New Roman"/>
          <w:noProof/>
          <w:sz w:val="24"/>
        </w:rPr>
        <w:t xml:space="preserve"> Tunizija je postala pomembna država odhoda (zlasti Tunizijcev)</w:t>
      </w:r>
      <w:r>
        <w:rPr>
          <w:rFonts w:ascii="Times New Roman" w:hAnsi="Times New Roman"/>
          <w:noProof/>
          <w:sz w:val="24"/>
        </w:rPr>
        <w:t xml:space="preserve"> v Italijo, v drugi polovici leta 2018 pa se je povečalo število prihodov na Malto. </w:t>
      </w:r>
    </w:p>
    <w:p w:rsidR="00117FA4" w:rsidRDefault="00A54415">
      <w:pPr>
        <w:pStyle w:val="ListParagraph"/>
        <w:numPr>
          <w:ilvl w:val="0"/>
          <w:numId w:val="5"/>
        </w:numPr>
        <w:spacing w:after="240"/>
        <w:ind w:left="419" w:hanging="357"/>
        <w:contextualSpacing w:val="0"/>
        <w:jc w:val="both"/>
        <w:rPr>
          <w:rFonts w:ascii="Times New Roman" w:hAnsi="Times New Roman"/>
          <w:noProof/>
          <w:sz w:val="24"/>
          <w:szCs w:val="24"/>
        </w:rPr>
      </w:pPr>
      <w:r>
        <w:rPr>
          <w:rFonts w:ascii="Times New Roman" w:hAnsi="Times New Roman"/>
          <w:noProof/>
          <w:sz w:val="24"/>
        </w:rPr>
        <w:t xml:space="preserve">Na </w:t>
      </w:r>
      <w:r>
        <w:rPr>
          <w:rFonts w:ascii="Times New Roman" w:hAnsi="Times New Roman"/>
          <w:i/>
          <w:noProof/>
          <w:sz w:val="24"/>
        </w:rPr>
        <w:t xml:space="preserve">vzhodnosredozemski </w:t>
      </w:r>
      <w:r>
        <w:rPr>
          <w:rFonts w:ascii="Times New Roman" w:hAnsi="Times New Roman"/>
          <w:noProof/>
          <w:sz w:val="24"/>
        </w:rPr>
        <w:t>poti so se številke leta 2018 povečevale in število prihodov v Grčijo v letu 2019 je zdaj za več kot 30 % višje kot pred enim letom. Ta trend povzroč</w:t>
      </w:r>
      <w:r>
        <w:rPr>
          <w:rFonts w:ascii="Times New Roman" w:hAnsi="Times New Roman"/>
          <w:noProof/>
          <w:sz w:val="24"/>
        </w:rPr>
        <w:t>a stalen pritisk na Egejske otoke, pa tudi na grško-turško kopensko mejo, saj se je v Turčijo vrnilo veliko premalo oseb, da bi se ta pritisk zmanjšal in da bi se prekinil gospodarski model tihotapcev</w:t>
      </w:r>
      <w:r>
        <w:rPr>
          <w:rStyle w:val="FootnoteReference"/>
          <w:rFonts w:ascii="Times New Roman" w:hAnsi="Times New Roman"/>
          <w:noProof/>
          <w:sz w:val="24"/>
        </w:rPr>
        <w:footnoteReference w:id="10"/>
      </w:r>
      <w:r>
        <w:rPr>
          <w:noProof/>
        </w:rPr>
        <w:t>.</w:t>
      </w:r>
      <w:r>
        <w:rPr>
          <w:rFonts w:ascii="Times New Roman" w:hAnsi="Times New Roman"/>
          <w:noProof/>
          <w:sz w:val="24"/>
        </w:rPr>
        <w:t xml:space="preserve"> Ob prihodu na otoke je bilo leta 2018 in 2019 največ </w:t>
      </w:r>
      <w:r>
        <w:rPr>
          <w:rFonts w:ascii="Times New Roman" w:hAnsi="Times New Roman"/>
          <w:noProof/>
          <w:sz w:val="24"/>
        </w:rPr>
        <w:t>Afganistancev, medtem ko je prek kopenske meje v EU vstopilo največ turških državljanov. Prav tako se je na Cipru povečalo število prihodov na območja pod vladnim nadzorom Cipra, in sicer tako po morju kot po kopnem.</w:t>
      </w:r>
    </w:p>
    <w:p w:rsidR="00117FA4" w:rsidRDefault="00A54415">
      <w:pPr>
        <w:jc w:val="both"/>
        <w:rPr>
          <w:rFonts w:ascii="Times New Roman" w:hAnsi="Times New Roman"/>
          <w:noProof/>
          <w:sz w:val="24"/>
          <w:szCs w:val="24"/>
        </w:rPr>
      </w:pPr>
      <w:r>
        <w:rPr>
          <w:rFonts w:ascii="Times New Roman" w:hAnsi="Times New Roman"/>
          <w:noProof/>
          <w:sz w:val="24"/>
        </w:rPr>
        <w:t>Leta 2018 je prišlo tudi do znatnega po</w:t>
      </w:r>
      <w:r>
        <w:rPr>
          <w:rFonts w:ascii="Times New Roman" w:hAnsi="Times New Roman"/>
          <w:noProof/>
          <w:sz w:val="24"/>
        </w:rPr>
        <w:t xml:space="preserve">večanja števila nedovoljenih gibanj na </w:t>
      </w:r>
      <w:r>
        <w:rPr>
          <w:rFonts w:ascii="Times New Roman" w:hAnsi="Times New Roman"/>
          <w:i/>
          <w:noProof/>
          <w:sz w:val="24"/>
        </w:rPr>
        <w:t>Zahodnem Balkanu</w:t>
      </w:r>
      <w:r>
        <w:rPr>
          <w:rFonts w:ascii="Times New Roman" w:hAnsi="Times New Roman"/>
          <w:noProof/>
          <w:sz w:val="24"/>
        </w:rPr>
        <w:t xml:space="preserve">, čeprav se je zaradi začetka zime število nezakonitih gibanj zmanjšalo. Leta 2018 je bilo število nedovoljenih prihodov štirikrat višje kot leta 2017, pri čemer je glavna pot v regiji potekala od </w:t>
      </w:r>
      <w:r>
        <w:rPr>
          <w:rFonts w:ascii="Times New Roman" w:hAnsi="Times New Roman"/>
          <w:noProof/>
          <w:sz w:val="24"/>
        </w:rPr>
        <w:t>Srbije do Bosne in Hercegovine. Bosna in Hercegovina je leta 2018 zabeležila približno 24 000 nedovoljenih prihodov, ob koncu leta pa je bilo v državi približno 5 000 migrantov. Vendar se je intenzivnost prihodov po tej poti zmanjšala, ko je Srbija 17. okt</w:t>
      </w:r>
      <w:r>
        <w:rPr>
          <w:rFonts w:ascii="Times New Roman" w:hAnsi="Times New Roman"/>
          <w:noProof/>
          <w:sz w:val="24"/>
        </w:rPr>
        <w:t>obra 2018 ukinila brezvizumski režim za iranske državljane. Zaradi politike brezvizumskega režima Srbije se trenutno spremlja povečanje števila prihodov indijskih državljanov.</w:t>
      </w:r>
    </w:p>
    <w:p w:rsidR="00117FA4" w:rsidRDefault="00117FA4">
      <w:pPr>
        <w:jc w:val="both"/>
        <w:rPr>
          <w:rFonts w:ascii="Times New Roman" w:hAnsi="Times New Roman"/>
          <w:noProof/>
          <w:sz w:val="24"/>
          <w:szCs w:val="24"/>
        </w:rPr>
      </w:pPr>
    </w:p>
    <w:p w:rsidR="00117FA4" w:rsidRDefault="00A54415">
      <w:pPr>
        <w:jc w:val="both"/>
        <w:rPr>
          <w:rFonts w:ascii="Times New Roman" w:hAnsi="Times New Roman"/>
          <w:noProof/>
          <w:sz w:val="24"/>
          <w:szCs w:val="24"/>
        </w:rPr>
      </w:pPr>
      <w:r>
        <w:rPr>
          <w:rFonts w:ascii="Times New Roman" w:hAnsi="Times New Roman"/>
          <w:noProof/>
          <w:sz w:val="24"/>
        </w:rPr>
        <w:t>Medtem ko se je število smrtnih žrtev v Sredozemlju od leta 2016 ob prizadevanj</w:t>
      </w:r>
      <w:r>
        <w:rPr>
          <w:rFonts w:ascii="Times New Roman" w:hAnsi="Times New Roman"/>
          <w:noProof/>
          <w:sz w:val="24"/>
        </w:rPr>
        <w:t>ih EU, držav članic in drugih partnerjev še naprej zmanjševalo, pa obstoj poslovnih modelov tihotapcev pomeni, da prehod meje po morju še vedno terja življenja. Leta 2018 je umrlo skoraj 2 300 oseb v primerjavi z več kot 3 100 leta 2017, leta 2019 pa je do</w:t>
      </w:r>
      <w:r>
        <w:rPr>
          <w:rFonts w:ascii="Times New Roman" w:hAnsi="Times New Roman"/>
          <w:noProof/>
          <w:sz w:val="24"/>
        </w:rPr>
        <w:t xml:space="preserve"> danes življenje izgubilo več kot 220 ljudi</w:t>
      </w:r>
      <w:r>
        <w:rPr>
          <w:rStyle w:val="FootnoteReference"/>
          <w:rFonts w:ascii="Times New Roman" w:hAnsi="Times New Roman"/>
          <w:noProof/>
          <w:sz w:val="24"/>
        </w:rPr>
        <w:footnoteReference w:id="11"/>
      </w:r>
      <w:r>
        <w:rPr>
          <w:noProof/>
        </w:rPr>
        <w:t>.</w:t>
      </w:r>
    </w:p>
    <w:p w:rsidR="00117FA4" w:rsidRDefault="00117FA4">
      <w:pPr>
        <w:jc w:val="both"/>
        <w:rPr>
          <w:rFonts w:ascii="Times New Roman" w:hAnsi="Times New Roman"/>
          <w:b/>
          <w:i/>
          <w:noProof/>
          <w:sz w:val="24"/>
          <w:szCs w:val="24"/>
        </w:rPr>
      </w:pPr>
    </w:p>
    <w:p w:rsidR="00117FA4" w:rsidRDefault="00A54415">
      <w:pPr>
        <w:keepNext/>
        <w:spacing w:after="120"/>
        <w:jc w:val="both"/>
        <w:rPr>
          <w:rFonts w:ascii="Times New Roman" w:hAnsi="Times New Roman"/>
          <w:i/>
          <w:noProof/>
          <w:sz w:val="24"/>
          <w:szCs w:val="24"/>
        </w:rPr>
      </w:pPr>
      <w:r>
        <w:rPr>
          <w:rFonts w:ascii="Times New Roman" w:hAnsi="Times New Roman"/>
          <w:i/>
          <w:noProof/>
          <w:sz w:val="24"/>
        </w:rPr>
        <w:t>Azil</w:t>
      </w:r>
    </w:p>
    <w:p w:rsidR="00117FA4" w:rsidRDefault="00A54415">
      <w:pPr>
        <w:jc w:val="both"/>
        <w:rPr>
          <w:rFonts w:ascii="Times New Roman" w:hAnsi="Times New Roman"/>
          <w:noProof/>
          <w:sz w:val="24"/>
          <w:szCs w:val="24"/>
        </w:rPr>
      </w:pPr>
      <w:r>
        <w:rPr>
          <w:rFonts w:ascii="Times New Roman" w:hAnsi="Times New Roman"/>
          <w:noProof/>
          <w:sz w:val="24"/>
        </w:rPr>
        <w:t>Leta 2018 je bilo v EU in pridruženih schengenskih državah vloženih približno 634 700 prošenj za mednarodno zaščito. To je 10 % manj kot leta 2017 in pomeni, da so se številke vrnile na raven, podobno tis</w:t>
      </w:r>
      <w:r>
        <w:rPr>
          <w:rFonts w:ascii="Times New Roman" w:hAnsi="Times New Roman"/>
          <w:noProof/>
          <w:sz w:val="24"/>
        </w:rPr>
        <w:t>ti iz leta 2014</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Glavne države sprejemnice so bile leta 2018 Nemčija, Francija, Grčija, Italija in Španija (72 % vseh prošenj v EU in pridruženih schengenskih državah)</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Tako kot leta 2017 so bile glavne države izvora Sirija, Afganistan in Irak. Znatno se</w:t>
      </w:r>
      <w:r>
        <w:rPr>
          <w:rFonts w:ascii="Times New Roman" w:hAnsi="Times New Roman"/>
          <w:noProof/>
          <w:sz w:val="24"/>
        </w:rPr>
        <w:t xml:space="preserve"> je povečalo tudi število prošenj migrantov iz držav, za katere velja izvzetje od pridobitve schengenskega vizuma, zlasti iz Venezuele, Gruzije in Kolumbije.</w:t>
      </w:r>
    </w:p>
    <w:p w:rsidR="00117FA4" w:rsidRDefault="00117FA4">
      <w:pPr>
        <w:jc w:val="both"/>
        <w:rPr>
          <w:rFonts w:ascii="Times New Roman" w:hAnsi="Times New Roman"/>
          <w:i/>
          <w:noProof/>
          <w:sz w:val="24"/>
          <w:szCs w:val="24"/>
        </w:rPr>
      </w:pPr>
    </w:p>
    <w:p w:rsidR="00117FA4" w:rsidRDefault="00A54415">
      <w:pPr>
        <w:jc w:val="both"/>
        <w:rPr>
          <w:rFonts w:ascii="Times New Roman" w:eastAsia="Calibri" w:hAnsi="Times New Roman"/>
          <w:noProof/>
          <w:sz w:val="24"/>
        </w:rPr>
      </w:pPr>
      <w:r>
        <w:rPr>
          <w:rFonts w:ascii="Times New Roman" w:hAnsi="Times New Roman"/>
          <w:noProof/>
          <w:sz w:val="24"/>
        </w:rPr>
        <w:t>Leta 2018 je bilo med zapisi prstnih odtisov v podatkovni zbirki Eurodac najdenih več kot 400 000</w:t>
      </w:r>
      <w:r>
        <w:rPr>
          <w:rFonts w:ascii="Times New Roman" w:hAnsi="Times New Roman"/>
          <w:noProof/>
          <w:sz w:val="24"/>
        </w:rPr>
        <w:t xml:space="preserve"> zadetkov oseb, ki so se preselile na ozemlje druge države članice</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Državi članici z največjim številom takih zadetkov sta bili Francija in Nemčija (kar kaže, da sta glavni namembni državi sekundarnih gibanj), državi članici z največjim številom obstoječi</w:t>
      </w:r>
      <w:r>
        <w:rPr>
          <w:rFonts w:ascii="Times New Roman" w:hAnsi="Times New Roman"/>
          <w:noProof/>
          <w:sz w:val="24"/>
        </w:rPr>
        <w:t>h zapisov pa sta bili Italija in Grčija (kar kaže, da sta glavni državi prvega vstopa)</w:t>
      </w:r>
      <w:r>
        <w:rPr>
          <w:rStyle w:val="FootnoteReference"/>
          <w:rFonts w:ascii="Times New Roman" w:hAnsi="Times New Roman"/>
          <w:noProof/>
          <w:sz w:val="24"/>
        </w:rPr>
        <w:footnoteReference w:id="15"/>
      </w:r>
      <w:r>
        <w:rPr>
          <w:noProof/>
        </w:rPr>
        <w:t>.</w:t>
      </w:r>
      <w:r>
        <w:rPr>
          <w:rFonts w:ascii="Times New Roman" w:hAnsi="Times New Roman"/>
          <w:noProof/>
          <w:sz w:val="24"/>
        </w:rPr>
        <w:t> </w:t>
      </w:r>
    </w:p>
    <w:p w:rsidR="00117FA4" w:rsidRDefault="00117FA4">
      <w:pPr>
        <w:jc w:val="both"/>
        <w:rPr>
          <w:rFonts w:ascii="Times New Roman" w:eastAsia="Calibri" w:hAnsi="Times New Roman"/>
          <w:noProof/>
          <w:color w:val="1F497D" w:themeColor="text2"/>
          <w:sz w:val="24"/>
        </w:rPr>
      </w:pPr>
    </w:p>
    <w:p w:rsidR="00117FA4" w:rsidRDefault="00A54415">
      <w:pPr>
        <w:spacing w:after="200" w:line="276" w:lineRule="auto"/>
        <w:rPr>
          <w:rFonts w:ascii="Times New Roman" w:hAnsi="Times New Roman"/>
          <w:noProof/>
          <w:color w:val="1F497D" w:themeColor="text2"/>
          <w:sz w:val="24"/>
          <w:szCs w:val="24"/>
        </w:rPr>
      </w:pPr>
      <w:r>
        <w:rPr>
          <w:noProof/>
        </w:rPr>
        <w:br w:type="page"/>
      </w:r>
    </w:p>
    <w:p w:rsidR="00117FA4" w:rsidRDefault="00A54415">
      <w:pPr>
        <w:pStyle w:val="ListParagraph"/>
        <w:numPr>
          <w:ilvl w:val="0"/>
          <w:numId w:val="2"/>
        </w:numPr>
        <w:rPr>
          <w:rFonts w:ascii="Times New Roman" w:hAnsi="Times New Roman"/>
          <w:b/>
          <w:noProof/>
          <w:sz w:val="24"/>
          <w:szCs w:val="24"/>
        </w:rPr>
      </w:pPr>
      <w:r>
        <w:rPr>
          <w:rFonts w:ascii="Times New Roman" w:hAnsi="Times New Roman"/>
          <w:b/>
          <w:noProof/>
          <w:sz w:val="24"/>
        </w:rPr>
        <w:t>TAKOJŠNJE UKREPANJE</w:t>
      </w:r>
    </w:p>
    <w:p w:rsidR="00117FA4" w:rsidRDefault="00117FA4">
      <w:pPr>
        <w:pStyle w:val="ListParagraph"/>
        <w:ind w:left="0"/>
        <w:jc w:val="both"/>
        <w:rPr>
          <w:rFonts w:ascii="Times New Roman" w:hAnsi="Times New Roman"/>
          <w:b/>
          <w:i/>
          <w:noProof/>
          <w:sz w:val="24"/>
          <w:szCs w:val="24"/>
        </w:rPr>
      </w:pPr>
    </w:p>
    <w:p w:rsidR="00117FA4" w:rsidRDefault="00A54415">
      <w:pPr>
        <w:pStyle w:val="ListParagraph"/>
        <w:keepNext/>
        <w:spacing w:after="120"/>
        <w:ind w:left="0"/>
        <w:contextualSpacing w:val="0"/>
        <w:jc w:val="both"/>
        <w:rPr>
          <w:rFonts w:ascii="Times New Roman" w:hAnsi="Times New Roman"/>
          <w:i/>
          <w:noProof/>
          <w:sz w:val="24"/>
          <w:szCs w:val="24"/>
        </w:rPr>
      </w:pPr>
      <w:r>
        <w:rPr>
          <w:rFonts w:ascii="Times New Roman" w:hAnsi="Times New Roman"/>
          <w:i/>
          <w:noProof/>
          <w:sz w:val="24"/>
        </w:rPr>
        <w:t>Zahodnosredozemska pot: sodelovanje z Marokom</w:t>
      </w:r>
    </w:p>
    <w:p w:rsidR="00117FA4" w:rsidRDefault="00A54415">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Ker je Španija zdaj glavna vstopna točka za nedovoljene prehode meje, morajo biti ukrepi za </w:t>
      </w:r>
      <w:r>
        <w:rPr>
          <w:rFonts w:ascii="Times New Roman" w:hAnsi="Times New Roman"/>
          <w:noProof/>
          <w:color w:val="000000"/>
          <w:sz w:val="24"/>
        </w:rPr>
        <w:t>obravnavanje migracij na zahodnosredozemski poti glavna prednostna naloga EU. EU je postavila temelje za tesno partnerstvo z Marokom. Konec leta 2018 je 140 milijonov EUR namenila podpori za upravljanje meja in proračunski podpori</w:t>
      </w:r>
      <w:r>
        <w:rPr>
          <w:rStyle w:val="FootnoteReference"/>
          <w:rFonts w:ascii="Times New Roman" w:hAnsi="Times New Roman"/>
          <w:noProof/>
          <w:color w:val="000000"/>
          <w:sz w:val="24"/>
        </w:rPr>
        <w:footnoteReference w:id="16"/>
      </w:r>
      <w:r>
        <w:rPr>
          <w:noProof/>
        </w:rPr>
        <w:t>.</w:t>
      </w:r>
      <w:r>
        <w:rPr>
          <w:rFonts w:ascii="Times New Roman" w:hAnsi="Times New Roman"/>
          <w:noProof/>
          <w:color w:val="000000"/>
          <w:sz w:val="24"/>
        </w:rPr>
        <w:t xml:space="preserve"> Maroko si že prizadeva </w:t>
      </w:r>
      <w:r>
        <w:rPr>
          <w:rFonts w:ascii="Times New Roman" w:hAnsi="Times New Roman"/>
          <w:noProof/>
          <w:color w:val="000000"/>
          <w:sz w:val="24"/>
        </w:rPr>
        <w:t>okrepiti nadzor nad svojo mejo in je do zdaj preprečil že veliko število odhodov</w:t>
      </w:r>
      <w:r>
        <w:rPr>
          <w:rStyle w:val="FootnoteReference"/>
          <w:rFonts w:ascii="Times New Roman" w:hAnsi="Times New Roman"/>
          <w:noProof/>
          <w:color w:val="000000"/>
          <w:sz w:val="24"/>
        </w:rPr>
        <w:footnoteReference w:id="17"/>
      </w:r>
      <w:r>
        <w:rPr>
          <w:noProof/>
        </w:rPr>
        <w:t>.</w:t>
      </w:r>
      <w:r>
        <w:rPr>
          <w:rFonts w:ascii="Times New Roman" w:hAnsi="Times New Roman"/>
          <w:noProof/>
          <w:color w:val="000000"/>
          <w:sz w:val="24"/>
        </w:rPr>
        <w:t xml:space="preserve"> Ti ukrepi EU bodo podpirali ta proces. Opravljena so bila prva plačila in začela se je javna ponudba za nakup ključne opreme: zadnje pogodbe v okviru tega svežnja bodo podpi</w:t>
      </w:r>
      <w:r>
        <w:rPr>
          <w:rFonts w:ascii="Times New Roman" w:hAnsi="Times New Roman"/>
          <w:noProof/>
          <w:color w:val="000000"/>
          <w:sz w:val="24"/>
        </w:rPr>
        <w:t xml:space="preserve">sane do aprila, nadaljevati pa bo treba izvajanje na terenu. To bo tudi dopolnilo izvajanje nujne pomoči v višini 36 milijonov EUR, ki je bila dogovorjena leta 2018 za pomoč Španiji na njeni južni meji. EU Španijo podpira tudi z operacijo Indalo. Komisija </w:t>
      </w:r>
      <w:r>
        <w:rPr>
          <w:rFonts w:ascii="Times New Roman" w:hAnsi="Times New Roman"/>
          <w:noProof/>
          <w:color w:val="000000"/>
          <w:sz w:val="24"/>
        </w:rPr>
        <w:t>je Španiji pripravljena zagotoviti vso finančno in tehnično podporo, ki jo potrebuje za upravljanje prihodov.</w:t>
      </w:r>
    </w:p>
    <w:p w:rsidR="00117FA4" w:rsidRDefault="00117FA4">
      <w:pPr>
        <w:pStyle w:val="ListParagraph"/>
        <w:ind w:left="0"/>
        <w:jc w:val="both"/>
        <w:rPr>
          <w:rFonts w:ascii="Times New Roman" w:hAnsi="Times New Roman"/>
          <w:noProof/>
          <w:color w:val="000000"/>
          <w:sz w:val="24"/>
          <w:szCs w:val="24"/>
        </w:rPr>
      </w:pPr>
    </w:p>
    <w:p w:rsidR="00117FA4" w:rsidRDefault="00A54415">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Na splošno si EU prizadeva za nadaljnji razvoj odnosov z Marokom, da bi oblikovala tesnejše, globlje in ambicioznejše partnerstvo. Mobilnost in m</w:t>
      </w:r>
      <w:r>
        <w:rPr>
          <w:rFonts w:ascii="Times New Roman" w:hAnsi="Times New Roman"/>
          <w:noProof/>
          <w:color w:val="000000"/>
          <w:sz w:val="24"/>
        </w:rPr>
        <w:t>igracije bodo imele pomembno vlogo, in sicer ob finančni podpori, tesnejših strokovnih stikih in operativnem sodelovanju, vključno s podporo Evropske agencije za mejno in obalno stražo. To bi moralo veljati tudi za nadaljevanje pogajanj o ponovnem sprejemu</w:t>
      </w:r>
      <w:r>
        <w:rPr>
          <w:rFonts w:ascii="Times New Roman" w:hAnsi="Times New Roman"/>
          <w:noProof/>
          <w:color w:val="000000"/>
          <w:sz w:val="24"/>
        </w:rPr>
        <w:t xml:space="preserve"> in vizumskih olajšavah ter za zakonite migracije. Prav tako bi moralo biti del tesnejšega sodelovanja tudi obravnavanje migracijskih tokov in odkrivanje tihotapskih poti do Maroka s strani sosednjih držav. </w:t>
      </w:r>
    </w:p>
    <w:p w:rsidR="00117FA4" w:rsidRDefault="00117FA4">
      <w:pPr>
        <w:pStyle w:val="ListParagraph"/>
        <w:ind w:left="0"/>
        <w:jc w:val="both"/>
        <w:rPr>
          <w:rFonts w:ascii="Times New Roman" w:hAnsi="Times New Roman"/>
          <w:noProof/>
          <w:color w:val="000000"/>
          <w:sz w:val="24"/>
          <w:szCs w:val="24"/>
        </w:rPr>
      </w:pPr>
    </w:p>
    <w:p w:rsidR="00117FA4" w:rsidRDefault="00A54415">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Ob neposredni podpori Maroka si nujni skrbniški</w:t>
      </w:r>
      <w:r>
        <w:rPr>
          <w:rFonts w:ascii="Times New Roman" w:hAnsi="Times New Roman"/>
          <w:noProof/>
          <w:color w:val="000000"/>
          <w:sz w:val="24"/>
        </w:rPr>
        <w:t xml:space="preserve"> sklad EU za Afriko</w:t>
      </w:r>
      <w:r>
        <w:rPr>
          <w:rStyle w:val="FootnoteReference"/>
          <w:rFonts w:ascii="Times New Roman" w:hAnsi="Times New Roman"/>
          <w:noProof/>
          <w:color w:val="000000"/>
          <w:sz w:val="24"/>
        </w:rPr>
        <w:footnoteReference w:id="18"/>
      </w:r>
      <w:r>
        <w:rPr>
          <w:rFonts w:ascii="Times New Roman" w:hAnsi="Times New Roman"/>
          <w:noProof/>
          <w:color w:val="000000"/>
          <w:sz w:val="24"/>
        </w:rPr>
        <w:t xml:space="preserve"> prizadeva za razvoj sodelovanja po celi zahodnosredozemski poti. Novi program čezmejnega sodelovanja v vrednosti 8,6 milijona EUR krepi usklajeno upravljanje migracij med Marokom, Senegalom, Malijem in Slonokoščeno obalo, s čimer se po</w:t>
      </w:r>
      <w:r>
        <w:rPr>
          <w:rFonts w:ascii="Times New Roman" w:hAnsi="Times New Roman"/>
          <w:noProof/>
          <w:color w:val="000000"/>
          <w:sz w:val="24"/>
        </w:rPr>
        <w:t>dpirajo okrepljeni regionalni politični dialogi o migracijah. Konec leta 2018 je bil odobren poseben program proračunske podpore za Mavretanijo v podporo nacionalni razvojni strategiji, s posebnim poudarkom na zaščiti migrantov in pomorski varnosti</w:t>
      </w:r>
      <w:r>
        <w:rPr>
          <w:rStyle w:val="FootnoteReference"/>
          <w:rFonts w:ascii="Times New Roman" w:hAnsi="Times New Roman"/>
          <w:noProof/>
          <w:color w:val="000000"/>
          <w:sz w:val="24"/>
        </w:rPr>
        <w:footnoteReference w:id="19"/>
      </w:r>
      <w:r>
        <w:rPr>
          <w:noProof/>
        </w:rPr>
        <w:t>.</w:t>
      </w:r>
      <w:r>
        <w:rPr>
          <w:rFonts w:ascii="Times New Roman" w:hAnsi="Times New Roman"/>
          <w:noProof/>
          <w:color w:val="000000"/>
          <w:sz w:val="24"/>
        </w:rPr>
        <w:t xml:space="preserve"> Oddel</w:t>
      </w:r>
      <w:r>
        <w:rPr>
          <w:rFonts w:ascii="Times New Roman" w:hAnsi="Times New Roman"/>
          <w:noProof/>
          <w:color w:val="000000"/>
          <w:sz w:val="24"/>
        </w:rPr>
        <w:t>ek skrbniškega sklada za Severno Afriko bo kmalu dopolnjen s 120 milijoni EUR iz proračuna EU</w:t>
      </w:r>
      <w:r>
        <w:rPr>
          <w:rStyle w:val="FootnoteReference"/>
          <w:rFonts w:ascii="Times New Roman" w:hAnsi="Times New Roman"/>
          <w:noProof/>
          <w:color w:val="000000"/>
          <w:sz w:val="24"/>
        </w:rPr>
        <w:footnoteReference w:id="20"/>
      </w:r>
      <w:r>
        <w:rPr>
          <w:noProof/>
        </w:rPr>
        <w:t>.</w:t>
      </w:r>
      <w:r>
        <w:rPr>
          <w:rFonts w:ascii="Times New Roman" w:hAnsi="Times New Roman"/>
          <w:noProof/>
          <w:color w:val="000000"/>
          <w:sz w:val="24"/>
        </w:rPr>
        <w:t xml:space="preserve"> Vendar sedanja struktura, vključno z bistvenimi dodatnimi sredstvi za tekoče programe v Libiji in Maroku, za leto 2019 kaže na primanjkljaj v višini do 86 milij</w:t>
      </w:r>
      <w:r>
        <w:rPr>
          <w:rFonts w:ascii="Times New Roman" w:hAnsi="Times New Roman"/>
          <w:noProof/>
          <w:color w:val="000000"/>
          <w:sz w:val="24"/>
        </w:rPr>
        <w:t>onov EUR. Za zagotovitev nadaljevanja teh prizadevanj bodo potrebni prispevki držav članic.</w:t>
      </w:r>
    </w:p>
    <w:p w:rsidR="00117FA4" w:rsidRDefault="00A54415">
      <w:pPr>
        <w:spacing w:after="200" w:line="276" w:lineRule="auto"/>
        <w:rPr>
          <w:rFonts w:ascii="Times New Roman" w:hAnsi="Times New Roman"/>
          <w:noProof/>
          <w:color w:val="000000"/>
          <w:sz w:val="24"/>
          <w:szCs w:val="24"/>
        </w:rPr>
      </w:pPr>
      <w:r>
        <w:rPr>
          <w:noProof/>
        </w:rPr>
        <w:br w:type="page"/>
      </w:r>
    </w:p>
    <w:p w:rsidR="00117FA4" w:rsidRDefault="00A54415">
      <w:pPr>
        <w:keepNext/>
        <w:spacing w:after="120"/>
        <w:jc w:val="both"/>
        <w:rPr>
          <w:rFonts w:ascii="Times New Roman" w:hAnsi="Times New Roman"/>
          <w:i/>
          <w:noProof/>
          <w:sz w:val="24"/>
          <w:szCs w:val="24"/>
        </w:rPr>
      </w:pPr>
      <w:r>
        <w:rPr>
          <w:rFonts w:ascii="Times New Roman" w:hAnsi="Times New Roman"/>
          <w:i/>
          <w:noProof/>
          <w:sz w:val="24"/>
        </w:rPr>
        <w:t>Osrednjesredozemska pot: izboljšanje razmer v Libiji</w:t>
      </w: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Zlasti je treba nujno pomagati osebam, ki so obtičale v Libiji. Za zagotovitev bolj humanih pogojev si moramo</w:t>
      </w:r>
      <w:r>
        <w:rPr>
          <w:rFonts w:ascii="Times New Roman" w:hAnsi="Times New Roman"/>
          <w:noProof/>
          <w:color w:val="000000"/>
          <w:sz w:val="24"/>
        </w:rPr>
        <w:t xml:space="preserve"> prizadevati za alternative pridržanju, bolj urejeno in pregledno upravljanje migrantov in beguncev v Libiji ter pomoč, da se bodo lahko varno vrnili domov ali poiskali zaščito v Evropi ali drugje.</w:t>
      </w:r>
      <w:r>
        <w:rPr>
          <w:rFonts w:ascii="Times New Roman" w:hAnsi="Times New Roman"/>
          <w:noProof/>
          <w:sz w:val="24"/>
        </w:rPr>
        <w:t xml:space="preserve"> Prednostno je treba zlasti zaščititi ranljive osebe, in si</w:t>
      </w:r>
      <w:r>
        <w:rPr>
          <w:rFonts w:ascii="Times New Roman" w:hAnsi="Times New Roman"/>
          <w:noProof/>
          <w:sz w:val="24"/>
        </w:rPr>
        <w:t>cer v centrih za pridržanje: ocenjuje se, da je v centrih v Libiji pod nadzorom libijske vlade narodne enotnosti pridržanih 6 200 migrantov</w:t>
      </w:r>
      <w:r>
        <w:rPr>
          <w:rStyle w:val="FootnoteReference"/>
          <w:rFonts w:ascii="Times New Roman" w:hAnsi="Times New Roman"/>
          <w:noProof/>
          <w:sz w:val="24"/>
        </w:rPr>
        <w:footnoteReference w:id="21"/>
      </w:r>
    </w:p>
    <w:p w:rsidR="00117FA4" w:rsidRDefault="00117FA4">
      <w:pPr>
        <w:jc w:val="both"/>
        <w:rPr>
          <w:rFonts w:ascii="Times New Roman" w:hAnsi="Times New Roman"/>
          <w:noProof/>
          <w:color w:val="000000"/>
          <w:sz w:val="24"/>
          <w:szCs w:val="24"/>
        </w:rPr>
      </w:pPr>
    </w:p>
    <w:p w:rsidR="00117FA4" w:rsidRDefault="00A54415">
      <w:pPr>
        <w:contextualSpacing/>
        <w:jc w:val="both"/>
        <w:rPr>
          <w:rFonts w:ascii="Times New Roman" w:hAnsi="Times New Roman"/>
          <w:noProof/>
          <w:sz w:val="24"/>
          <w:szCs w:val="24"/>
        </w:rPr>
      </w:pPr>
      <w:r>
        <w:rPr>
          <w:rFonts w:ascii="Times New Roman" w:hAnsi="Times New Roman"/>
          <w:noProof/>
          <w:sz w:val="24"/>
        </w:rPr>
        <w:t>V okviru omejitev, povezanih s trenutnimi varnostnimi razmerami, se na to osredotočajo prizadevanja Združenih naro</w:t>
      </w:r>
      <w:r>
        <w:rPr>
          <w:rFonts w:ascii="Times New Roman" w:hAnsi="Times New Roman"/>
          <w:noProof/>
          <w:sz w:val="24"/>
        </w:rPr>
        <w:t>dov za begunce (UNHCR) in Mednarodne organizacije za migracije, pa tudi tristranske projektne skupine med Afriško unijo, Evropsko unijo in Združenimi narodi. To sodelovanje je prek programov za pomoč pri prostovoljnem vračanju že privedlo do tega, da se je</w:t>
      </w:r>
      <w:r>
        <w:rPr>
          <w:rFonts w:ascii="Times New Roman" w:hAnsi="Times New Roman"/>
          <w:noProof/>
          <w:sz w:val="24"/>
        </w:rPr>
        <w:t xml:space="preserve"> več kot 37 000 vrnitev oseb vrnilo na svoje domove, prek mehanizma UNHCR za nujen tranzit iz Libije v Niger pa je bilo evakuiranih skoraj 2 500 oseb</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Od teh oseb je bilo več kot 1 200 preseljenih in naslednji ključni korak za države članice je preselitev</w:t>
      </w:r>
      <w:r>
        <w:rPr>
          <w:rFonts w:ascii="Times New Roman" w:hAnsi="Times New Roman"/>
          <w:noProof/>
          <w:sz w:val="24"/>
        </w:rPr>
        <w:t xml:space="preserve"> tistih, ki še čakajo v Nigru. Projektna skupina bo libijske organe še naprej pozivala, naj lajšajo ta prizadevanja in se osredotočijo zlasti na zmanjševanje potreb po izstopnih vizumih in pristajalnih pristojbinah.</w:t>
      </w:r>
    </w:p>
    <w:p w:rsidR="00117FA4" w:rsidRDefault="00117FA4">
      <w:pPr>
        <w:autoSpaceDE w:val="0"/>
        <w:autoSpaceDN w:val="0"/>
        <w:adjustRightInd w:val="0"/>
        <w:jc w:val="both"/>
        <w:rPr>
          <w:rFonts w:ascii="Times New Roman" w:hAnsi="Times New Roman"/>
          <w:noProof/>
          <w:sz w:val="24"/>
          <w:szCs w:val="24"/>
        </w:rPr>
      </w:pPr>
    </w:p>
    <w:p w:rsidR="00117FA4" w:rsidRDefault="00A54415">
      <w:pPr>
        <w:autoSpaceDE w:val="0"/>
        <w:autoSpaceDN w:val="0"/>
        <w:adjustRightInd w:val="0"/>
        <w:jc w:val="both"/>
        <w:rPr>
          <w:rFonts w:ascii="Times New Roman" w:hAnsi="Times New Roman"/>
          <w:noProof/>
          <w:sz w:val="24"/>
          <w:szCs w:val="24"/>
        </w:rPr>
      </w:pPr>
      <w:r>
        <w:rPr>
          <w:rFonts w:ascii="Times New Roman" w:hAnsi="Times New Roman"/>
          <w:noProof/>
          <w:sz w:val="24"/>
        </w:rPr>
        <w:t>Potrebno je nadaljnje prizadevanje za o</w:t>
      </w:r>
      <w:r>
        <w:rPr>
          <w:rFonts w:ascii="Times New Roman" w:hAnsi="Times New Roman"/>
          <w:noProof/>
          <w:sz w:val="24"/>
        </w:rPr>
        <w:t>dpravo grozljivih pogojev, s katerimi se soočajo številni migranti in begunci. Od leta 2016 je bilo iz skrbniškega sklada dodeljenih skoraj 135 milijonov EUR za zaščito migrantov v Libiji in ta prizadevanja je treba ohraniti. Delo zajema pomoč pri izkrcanj</w:t>
      </w:r>
      <w:r>
        <w:rPr>
          <w:rFonts w:ascii="Times New Roman" w:hAnsi="Times New Roman"/>
          <w:noProof/>
          <w:sz w:val="24"/>
        </w:rPr>
        <w:t>u, pa tudi registracijo in sledljivost oseb, ki se izkrcajo. Tekoči projekti so namenjeni izboljšanju postopkov in pogojev najprej v tej ključni fazi in nato po prihodu v centre za pridržanje. Decembra 2018 so libijski organi odobrili tudi odprtje enote UN</w:t>
      </w:r>
      <w:r>
        <w:rPr>
          <w:rFonts w:ascii="Times New Roman" w:hAnsi="Times New Roman"/>
          <w:noProof/>
          <w:sz w:val="24"/>
        </w:rPr>
        <w:t>HCR za zbiranje in odhod, kot središča za pomoč beguncem in prosilcem za azil, da bodo lahko hitro evakuirani. To bi lahko bila tudi začasna rešitev za mladoletnike brez spremstva in druge ranljive skupine. EU bo še naprej izvajala pritisk, da se humanitar</w:t>
      </w:r>
      <w:r>
        <w:rPr>
          <w:rFonts w:ascii="Times New Roman" w:hAnsi="Times New Roman"/>
          <w:noProof/>
          <w:sz w:val="24"/>
        </w:rPr>
        <w:t xml:space="preserve">nim organizacijam in agencijam ZN zagotovi neoviran redni dostop, da se izboljšajo pogoji v centrih za pridržanje, da se povečajo alternative pridržanju ter da se odpravi sedanji sistem pridržanja. </w:t>
      </w:r>
    </w:p>
    <w:p w:rsidR="00117FA4" w:rsidRDefault="00117FA4">
      <w:pPr>
        <w:autoSpaceDE w:val="0"/>
        <w:autoSpaceDN w:val="0"/>
        <w:adjustRightInd w:val="0"/>
        <w:jc w:val="both"/>
        <w:rPr>
          <w:rFonts w:ascii="Times New Roman" w:hAnsi="Times New Roman"/>
          <w:noProof/>
          <w:sz w:val="24"/>
          <w:szCs w:val="24"/>
        </w:rPr>
      </w:pPr>
    </w:p>
    <w:p w:rsidR="00117FA4" w:rsidRDefault="00A54415">
      <w:pPr>
        <w:autoSpaceDE w:val="0"/>
        <w:autoSpaceDN w:val="0"/>
        <w:adjustRightInd w:val="0"/>
        <w:jc w:val="both"/>
        <w:rPr>
          <w:rFonts w:ascii="Times New Roman" w:hAnsi="Times New Roman"/>
          <w:noProof/>
          <w:sz w:val="24"/>
          <w:szCs w:val="24"/>
        </w:rPr>
      </w:pPr>
      <w:r>
        <w:rPr>
          <w:rFonts w:ascii="Times New Roman" w:hAnsi="Times New Roman"/>
          <w:noProof/>
          <w:sz w:val="24"/>
        </w:rPr>
        <w:t>Ker je v nadzorovanih centrih pod vladnim nadzorom v Lib</w:t>
      </w:r>
      <w:r>
        <w:rPr>
          <w:rFonts w:ascii="Times New Roman" w:hAnsi="Times New Roman"/>
          <w:noProof/>
          <w:sz w:val="24"/>
        </w:rPr>
        <w:t>iji pridržan le majhen delež migrantov, je podpora lokalnim skupnostim bistvenega pomena. Programi EU podpirajo zdravstveno varstvo, šolanje in osnovno socialno infrastrukturo. Leta 2018 so bili v Libiji v okviru skrbniškega sklada EU za Afriko odobreni št</w:t>
      </w:r>
      <w:r>
        <w:rPr>
          <w:rFonts w:ascii="Times New Roman" w:hAnsi="Times New Roman"/>
          <w:noProof/>
          <w:sz w:val="24"/>
        </w:rPr>
        <w:t xml:space="preserve">irje novi programi v skupnem znesku 156 milijonov EUR. </w:t>
      </w:r>
    </w:p>
    <w:p w:rsidR="00117FA4" w:rsidRDefault="00117FA4">
      <w:pPr>
        <w:autoSpaceDE w:val="0"/>
        <w:autoSpaceDN w:val="0"/>
        <w:adjustRightInd w:val="0"/>
        <w:jc w:val="both"/>
        <w:rPr>
          <w:rFonts w:ascii="Times New Roman" w:hAnsi="Times New Roman"/>
          <w:noProof/>
          <w:sz w:val="24"/>
          <w:szCs w:val="24"/>
        </w:rPr>
      </w:pPr>
    </w:p>
    <w:p w:rsidR="00117FA4" w:rsidRDefault="00A54415">
      <w:pPr>
        <w:autoSpaceDE w:val="0"/>
        <w:autoSpaceDN w:val="0"/>
        <w:adjustRightInd w:val="0"/>
        <w:jc w:val="both"/>
        <w:rPr>
          <w:rFonts w:ascii="Times New Roman" w:hAnsi="Times New Roman"/>
          <w:noProof/>
          <w:sz w:val="24"/>
          <w:szCs w:val="24"/>
        </w:rPr>
      </w:pPr>
      <w:r>
        <w:rPr>
          <w:rFonts w:ascii="Times New Roman" w:hAnsi="Times New Roman"/>
          <w:noProof/>
          <w:sz w:val="24"/>
        </w:rPr>
        <w:t>Skoraj 90 000 beguncev in ranljivih migrantov je prejelo zdravniško pomoč v okviru osnovnega in specializiranega zdravstvenega varstva, pregledov in presejanj. Delo bo okrepljeno, prednost bodo imele</w:t>
      </w:r>
      <w:r>
        <w:rPr>
          <w:rFonts w:ascii="Times New Roman" w:hAnsi="Times New Roman"/>
          <w:noProof/>
          <w:sz w:val="24"/>
        </w:rPr>
        <w:t xml:space="preserve"> prostovoljne vrnitve s pomočjo, pospeševanje evakuacije mladoletnikov in drugih ranljivih oseb, izboljšanje razmer v centrih za pridržanje ter spodbujanje alternativ pridržanju. Hkrati je humanitarna pomoč EU v Libiji dosegla okoli 700 000 najranljivejših</w:t>
      </w:r>
      <w:r>
        <w:rPr>
          <w:rFonts w:ascii="Times New Roman" w:hAnsi="Times New Roman"/>
          <w:noProof/>
          <w:sz w:val="24"/>
        </w:rPr>
        <w:t xml:space="preserve"> oseb, ki jih je prizadel konflikt, vključno z notranje razseljenimi osebami.</w:t>
      </w:r>
    </w:p>
    <w:p w:rsidR="00117FA4" w:rsidRDefault="00117FA4">
      <w:pPr>
        <w:autoSpaceDE w:val="0"/>
        <w:autoSpaceDN w:val="0"/>
        <w:adjustRightInd w:val="0"/>
        <w:jc w:val="both"/>
        <w:rPr>
          <w:rFonts w:ascii="Times New Roman" w:hAnsi="Times New Roman"/>
          <w:noProof/>
          <w:sz w:val="24"/>
          <w:szCs w:val="24"/>
        </w:rPr>
      </w:pPr>
    </w:p>
    <w:p w:rsidR="00117FA4" w:rsidRDefault="00A54415">
      <w:pPr>
        <w:keepNext/>
        <w:spacing w:after="120"/>
        <w:jc w:val="both"/>
        <w:rPr>
          <w:rFonts w:ascii="Times New Roman" w:hAnsi="Times New Roman"/>
          <w:i/>
          <w:noProof/>
          <w:sz w:val="24"/>
          <w:szCs w:val="24"/>
        </w:rPr>
      </w:pPr>
      <w:r>
        <w:rPr>
          <w:rFonts w:ascii="Times New Roman" w:hAnsi="Times New Roman"/>
          <w:i/>
          <w:noProof/>
          <w:sz w:val="24"/>
        </w:rPr>
        <w:t>Vzhodnosredozemska pot: izboljšanje razmer v Grčiji</w:t>
      </w:r>
    </w:p>
    <w:p w:rsidR="00117FA4" w:rsidRDefault="00A54415">
      <w:pPr>
        <w:pStyle w:val="Default"/>
        <w:jc w:val="both"/>
        <w:rPr>
          <w:noProof/>
        </w:rPr>
      </w:pPr>
      <w:r>
        <w:rPr>
          <w:noProof/>
        </w:rPr>
        <w:t>Nadaljnja prizadevanja za izvajanje izjave EU in Turčije ter večja finančna in operativna podpora EU od leta 2015 so zelo pri</w:t>
      </w:r>
      <w:r>
        <w:rPr>
          <w:noProof/>
        </w:rPr>
        <w:t>spevali k zmanjšanju pritiska na grške otoke</w:t>
      </w:r>
      <w:r>
        <w:rPr>
          <w:rStyle w:val="FootnoteReference"/>
          <w:noProof/>
        </w:rPr>
        <w:footnoteReference w:id="23"/>
      </w:r>
      <w:r>
        <w:rPr>
          <w:noProof/>
        </w:rPr>
        <w:t>. Zdaj potekajo nadaljnji ukrepi. Grški organi so sprejeli številne ukrepe za hitrejšo obravnavo prošenj za azil, tudi z dodatnimi zdravniki, ki opredeljujejo ranljivost oseb, mobilnimi azilnimi enotami in večji</w:t>
      </w:r>
      <w:r>
        <w:rPr>
          <w:noProof/>
        </w:rPr>
        <w:t>m številom odborov za pritožbe. Trenutno potekajo pilotni projekti, da bi našli druge načine za izboljšanje poteka obravnave prošenj za azil. S tem bi se morala povečati učinkovitost vračanja, in sicer na podlagi izjave EU in Turčije, ob zmanjševanju prena</w:t>
      </w:r>
      <w:r>
        <w:rPr>
          <w:noProof/>
        </w:rPr>
        <w:t xml:space="preserve">trpanosti otokov pa bi se morali izboljšati tudi pogoji. </w:t>
      </w:r>
    </w:p>
    <w:p w:rsidR="00117FA4" w:rsidRDefault="00117FA4">
      <w:pPr>
        <w:pStyle w:val="Default"/>
        <w:jc w:val="both"/>
        <w:rPr>
          <w:noProof/>
        </w:rPr>
      </w:pPr>
    </w:p>
    <w:p w:rsidR="00117FA4" w:rsidRDefault="00A54415">
      <w:pPr>
        <w:pStyle w:val="Default"/>
        <w:spacing w:after="120"/>
        <w:jc w:val="both"/>
        <w:rPr>
          <w:noProof/>
        </w:rPr>
      </w:pPr>
      <w:r>
        <w:rPr>
          <w:noProof/>
        </w:rPr>
        <w:t>Vendar bo pri odpravljanju številnih preostalih izzivov bistvenega pomena močno vodstvo in zavezanost grške vlade. EU bo še naprej zagotavljala finančno podporo</w:t>
      </w:r>
      <w:r>
        <w:rPr>
          <w:rStyle w:val="FootnoteReference"/>
          <w:noProof/>
        </w:rPr>
        <w:footnoteReference w:id="24"/>
      </w:r>
      <w:r>
        <w:rPr>
          <w:noProof/>
        </w:rPr>
        <w:t xml:space="preserve"> Grčiji, agencije EU pa bodo še naprej zagotavljale strokovno znanje. Bistveno je tudi, da države članice še naprej zadostno podpirajo delo agencij EU. Nujni in usklajeni ukrepi grških organov so potrebni, da se omogočijo:</w:t>
      </w:r>
    </w:p>
    <w:p w:rsidR="00117FA4" w:rsidRDefault="00A54415">
      <w:pPr>
        <w:pStyle w:val="Default"/>
        <w:numPr>
          <w:ilvl w:val="0"/>
          <w:numId w:val="62"/>
        </w:numPr>
        <w:spacing w:after="120"/>
        <w:ind w:left="425"/>
        <w:jc w:val="both"/>
        <w:rPr>
          <w:noProof/>
        </w:rPr>
      </w:pPr>
      <w:r>
        <w:rPr>
          <w:noProof/>
        </w:rPr>
        <w:t xml:space="preserve">učinkovitejši azilni postopki za </w:t>
      </w:r>
      <w:r>
        <w:rPr>
          <w:noProof/>
        </w:rPr>
        <w:t>zagotovitev veliko hitrejše obravnave prošenj za azil,</w:t>
      </w:r>
    </w:p>
    <w:p w:rsidR="00117FA4" w:rsidRDefault="00A54415">
      <w:pPr>
        <w:pStyle w:val="Default"/>
        <w:numPr>
          <w:ilvl w:val="0"/>
          <w:numId w:val="62"/>
        </w:numPr>
        <w:spacing w:after="120"/>
        <w:ind w:left="425"/>
        <w:jc w:val="both"/>
        <w:rPr>
          <w:noProof/>
        </w:rPr>
      </w:pPr>
      <w:r>
        <w:rPr>
          <w:noProof/>
        </w:rPr>
        <w:t>večje število vrnitev, pri katerih se v največji možni meri uporabljajo programi za prostovoljne vrnitve s pomočjo, podprti s programi ponovnega vključevanja v družbo. Kjer je potrebno prisilno vračanj</w:t>
      </w:r>
      <w:r>
        <w:rPr>
          <w:noProof/>
        </w:rPr>
        <w:t>e, morajo biti na voljo ustrezni objekti za bivanje pred preselitvijo, ki so v skladu z veljavnimi standardi na področju človekovih pravic. Za to je potreben učinkovit potek dela, ki daje prednost ključnim skupinam v vseh fazah postopka</w:t>
      </w:r>
      <w:r>
        <w:rPr>
          <w:rStyle w:val="FootnoteReference"/>
          <w:noProof/>
        </w:rPr>
        <w:footnoteReference w:id="25"/>
      </w:r>
      <w:r>
        <w:rPr>
          <w:noProof/>
        </w:rPr>
        <w:t xml:space="preserve">, </w:t>
      </w:r>
    </w:p>
    <w:p w:rsidR="00117FA4" w:rsidRDefault="00A54415">
      <w:pPr>
        <w:pStyle w:val="Default"/>
        <w:numPr>
          <w:ilvl w:val="0"/>
          <w:numId w:val="62"/>
        </w:numPr>
        <w:spacing w:after="120"/>
        <w:ind w:left="425"/>
        <w:jc w:val="both"/>
        <w:rPr>
          <w:noProof/>
        </w:rPr>
      </w:pPr>
      <w:r>
        <w:rPr>
          <w:noProof/>
        </w:rPr>
        <w:t>regulativni in u</w:t>
      </w:r>
      <w:r>
        <w:rPr>
          <w:noProof/>
        </w:rPr>
        <w:t>pravni okvir, ki lahko zagotovi delovanje in spremljanje sprejemnih zmogljivosti ter zagotavljanje vseh ustreznih storitev,</w:t>
      </w:r>
    </w:p>
    <w:p w:rsidR="00117FA4" w:rsidRDefault="00A54415">
      <w:pPr>
        <w:pStyle w:val="ListParagraph"/>
        <w:numPr>
          <w:ilvl w:val="0"/>
          <w:numId w:val="58"/>
        </w:numPr>
        <w:spacing w:after="120"/>
        <w:ind w:left="425"/>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hitra zagotovitev vsaj 2 000 mest v ustrezni nastanitvi za mladoletnike brez spremstva ter dokončanje in izvajanje celovite nacional</w:t>
      </w:r>
      <w:r>
        <w:rPr>
          <w:rFonts w:ascii="Times New Roman" w:eastAsiaTheme="minorHAnsi" w:hAnsi="Times New Roman"/>
          <w:noProof/>
          <w:color w:val="000000"/>
          <w:sz w:val="24"/>
        </w:rPr>
        <w:t xml:space="preserve">ne strategije za zagotovitev popolne zaščite za mladoletnike brez spremstva, </w:t>
      </w:r>
    </w:p>
    <w:p w:rsidR="00117FA4" w:rsidRDefault="00A54415">
      <w:pPr>
        <w:pStyle w:val="ListParagraph"/>
        <w:numPr>
          <w:ilvl w:val="0"/>
          <w:numId w:val="58"/>
        </w:numPr>
        <w:spacing w:after="240"/>
        <w:ind w:left="426"/>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izboljšan sistem napotitev na odprto nastanitev za prosilce za mednarodno zaščito in ranljive osebe ter sodelovanje med pristojnimi organi.</w:t>
      </w:r>
    </w:p>
    <w:p w:rsidR="00117FA4" w:rsidRDefault="00A54415">
      <w:pPr>
        <w:spacing w:after="24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Zato je potrebna učinkovita in trajnos</w:t>
      </w:r>
      <w:r>
        <w:rPr>
          <w:rFonts w:ascii="Times New Roman" w:eastAsiaTheme="minorHAnsi" w:hAnsi="Times New Roman"/>
          <w:noProof/>
          <w:color w:val="000000"/>
          <w:sz w:val="24"/>
        </w:rPr>
        <w:t>tna grška nacionalna strategija za upravljanje migracij, kar mora vzpostaviti učinkovito sodelovanje in usklajevanje med vsemi ustreznimi nacionalnimi organi z navedenim potekom dela in skupnimi prednostnimi pravili.</w:t>
      </w:r>
    </w:p>
    <w:p w:rsidR="00117FA4" w:rsidRDefault="00A54415">
      <w:pPr>
        <w:keepNext/>
        <w:spacing w:after="120"/>
        <w:jc w:val="both"/>
        <w:rPr>
          <w:rFonts w:ascii="Times New Roman" w:hAnsi="Times New Roman"/>
          <w:i/>
          <w:noProof/>
          <w:sz w:val="24"/>
        </w:rPr>
      </w:pPr>
      <w:r>
        <w:rPr>
          <w:rFonts w:ascii="Times New Roman" w:hAnsi="Times New Roman"/>
          <w:i/>
          <w:noProof/>
          <w:sz w:val="24"/>
        </w:rPr>
        <w:t>Potreba po začasnih dogovorih o izkrcan</w:t>
      </w:r>
      <w:r>
        <w:rPr>
          <w:rFonts w:ascii="Times New Roman" w:hAnsi="Times New Roman"/>
          <w:i/>
          <w:noProof/>
          <w:sz w:val="24"/>
        </w:rPr>
        <w:t>ju v EU</w:t>
      </w:r>
    </w:p>
    <w:p w:rsidR="00117FA4" w:rsidRDefault="00A54415">
      <w:pPr>
        <w:jc w:val="both"/>
        <w:rPr>
          <w:rFonts w:ascii="Times New Roman" w:hAnsi="Times New Roman"/>
          <w:noProof/>
          <w:color w:val="000000"/>
          <w:sz w:val="24"/>
        </w:rPr>
      </w:pPr>
      <w:r>
        <w:rPr>
          <w:rFonts w:ascii="Times New Roman" w:hAnsi="Times New Roman"/>
          <w:noProof/>
          <w:sz w:val="24"/>
        </w:rPr>
        <w:t xml:space="preserve">Že poleti 2018 so se države članice soočile s številnimi primeri, ko se niso mogle hitro dogovoriti o izkrcanju in nadaljnjih ukrepih. Zato so bile rešitve, ki so jih uporabile, omejene in priložnostne. Januarja 2019 je bilo treba poiskati rešitev </w:t>
      </w:r>
      <w:r>
        <w:rPr>
          <w:rFonts w:ascii="Times New Roman" w:hAnsi="Times New Roman"/>
          <w:noProof/>
          <w:sz w:val="24"/>
        </w:rPr>
        <w:t xml:space="preserve">za reševalno plovilo </w:t>
      </w:r>
      <w:r>
        <w:rPr>
          <w:rFonts w:ascii="Times New Roman" w:hAnsi="Times New Roman"/>
          <w:i/>
          <w:noProof/>
          <w:sz w:val="24"/>
        </w:rPr>
        <w:t>SeaWatch 3</w:t>
      </w:r>
      <w:r>
        <w:rPr>
          <w:rFonts w:ascii="Times New Roman" w:hAnsi="Times New Roman"/>
          <w:noProof/>
          <w:sz w:val="24"/>
        </w:rPr>
        <w:t>, kar je sprožilo posebno prizadevanje za usklajevanje med številnimi državami članicami, Komisijo in zadevnimi agencijami. Čeprav je bilo vključenih le malo ljudi, so te praktične izkušnje pokazale pripravljenost, da se najd</w:t>
      </w:r>
      <w:r>
        <w:rPr>
          <w:rFonts w:ascii="Times New Roman" w:hAnsi="Times New Roman"/>
          <w:noProof/>
          <w:sz w:val="24"/>
        </w:rPr>
        <w:t xml:space="preserve">e učinkovitejši okvir sodelovanja v duhu solidarnosti, ki lahko pripomore k oblikovanju bolj sistematičnega in usklajenega pristopa EU do izkrcanja, prvega sprejema, registracije in premestitve v obliki začasnih dogovorov. </w:t>
      </w:r>
      <w:r>
        <w:rPr>
          <w:rFonts w:ascii="Times New Roman" w:hAnsi="Times New Roman"/>
          <w:noProof/>
          <w:color w:val="000000"/>
          <w:sz w:val="24"/>
        </w:rPr>
        <w:t>Ta okvir bi lahko vključeval preg</w:t>
      </w:r>
      <w:r>
        <w:rPr>
          <w:rFonts w:ascii="Times New Roman" w:hAnsi="Times New Roman"/>
          <w:noProof/>
          <w:color w:val="000000"/>
          <w:sz w:val="24"/>
        </w:rPr>
        <w:t>leden delovni načrt po etapah, ki bi zagotovil, da zadevna država članica prejme potrebno operativno in učinkovito pomoč od Komisije, agencij EU in drugih držav članic.</w:t>
      </w:r>
    </w:p>
    <w:p w:rsidR="00117FA4" w:rsidRDefault="00117FA4">
      <w:pPr>
        <w:jc w:val="both"/>
        <w:rPr>
          <w:rFonts w:ascii="Times New Roman" w:hAnsi="Times New Roman"/>
          <w:noProof/>
          <w:color w:val="000000"/>
          <w:sz w:val="24"/>
        </w:rPr>
      </w:pPr>
    </w:p>
    <w:p w:rsidR="00117FA4" w:rsidRDefault="00A54415">
      <w:pPr>
        <w:jc w:val="both"/>
        <w:rPr>
          <w:rFonts w:ascii="Times New Roman" w:hAnsi="Times New Roman"/>
          <w:noProof/>
          <w:color w:val="000000" w:themeColor="text1"/>
          <w:sz w:val="24"/>
          <w:szCs w:val="24"/>
        </w:rPr>
      </w:pPr>
      <w:r>
        <w:rPr>
          <w:rFonts w:ascii="Times New Roman" w:hAnsi="Times New Roman"/>
          <w:noProof/>
          <w:sz w:val="24"/>
        </w:rPr>
        <w:t>Čeprav je hitro dokončanje zakonodajne reforme skupnega evropskega azilnega sistema še</w:t>
      </w:r>
      <w:r>
        <w:rPr>
          <w:rFonts w:ascii="Times New Roman" w:hAnsi="Times New Roman"/>
          <w:noProof/>
          <w:sz w:val="24"/>
        </w:rPr>
        <w:t xml:space="preserve"> vedno prednostna naloga, je Komisija že decembra 2018</w:t>
      </w:r>
      <w:r>
        <w:rPr>
          <w:rStyle w:val="FootnoteReference"/>
          <w:rFonts w:ascii="Times New Roman" w:hAnsi="Times New Roman"/>
          <w:noProof/>
          <w:sz w:val="24"/>
        </w:rPr>
        <w:footnoteReference w:id="26"/>
      </w:r>
      <w:r>
        <w:rPr>
          <w:rFonts w:ascii="Times New Roman" w:hAnsi="Times New Roman"/>
          <w:noProof/>
          <w:sz w:val="24"/>
        </w:rPr>
        <w:t xml:space="preserve"> poudarila pomen takih začasnih dogovorov kot takojšnjega usklajenega pristopa k izkrcanju in drugim razmeram izrednih pritiskov.</w:t>
      </w:r>
      <w:r>
        <w:rPr>
          <w:rFonts w:ascii="Times New Roman" w:hAnsi="Times New Roman"/>
          <w:noProof/>
          <w:color w:val="000000" w:themeColor="text1"/>
          <w:sz w:val="24"/>
        </w:rPr>
        <w:t xml:space="preserve"> </w:t>
      </w:r>
      <w:r>
        <w:rPr>
          <w:rFonts w:ascii="Times New Roman" w:hAnsi="Times New Roman"/>
          <w:noProof/>
          <w:sz w:val="24"/>
        </w:rPr>
        <w:t>S takimi dogovori bi se solidarnost in odgovornost uporabljala v praksi</w:t>
      </w:r>
      <w:r>
        <w:rPr>
          <w:rFonts w:ascii="Times New Roman" w:hAnsi="Times New Roman"/>
          <w:noProof/>
          <w:sz w:val="24"/>
        </w:rPr>
        <w:t>, in sicer na podlagi medsebojnega razumevanja splošnega in skupnega interesa, kot povezovalni mehanizem, dokler zakonodajna reforma ne bo zaključena in se bo začela uporabljati. EU bi bila zares bolje pripravljena kot danes, da konkretno solidarnost ponud</w:t>
      </w:r>
      <w:r>
        <w:rPr>
          <w:rFonts w:ascii="Times New Roman" w:hAnsi="Times New Roman"/>
          <w:noProof/>
          <w:sz w:val="24"/>
        </w:rPr>
        <w:t>i strukturirano, učinkovito in prožno, hkrati pa zagotovi učinkovito preprečevanje sekundarnih gibanj in dejavnikov privlačevanja. Da bi ta pristop deloval, bi moralo sodelovati kar največ držav članic. Ključni elementi takih začasnih dogovorov bi lahko bi</w:t>
      </w:r>
      <w:r>
        <w:rPr>
          <w:rFonts w:ascii="Times New Roman" w:hAnsi="Times New Roman"/>
          <w:noProof/>
          <w:sz w:val="24"/>
        </w:rPr>
        <w:t>li sledeči:</w:t>
      </w:r>
    </w:p>
    <w:p w:rsidR="00117FA4" w:rsidRDefault="00117FA4">
      <w:pPr>
        <w:ind w:left="426" w:hanging="426"/>
        <w:jc w:val="both"/>
        <w:rPr>
          <w:rFonts w:ascii="Times New Roman" w:hAnsi="Times New Roman"/>
          <w:noProof/>
          <w:sz w:val="24"/>
          <w:szCs w:val="24"/>
        </w:rPr>
      </w:pPr>
    </w:p>
    <w:p w:rsidR="00117FA4" w:rsidRDefault="00A54415">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kadar je država članica pod pritiskom ali kadar je treba prispevati k hitremu izkrcanju po iskanju in reševanju, zadevna država članica zaprosi za pomoč, </w:t>
      </w:r>
    </w:p>
    <w:p w:rsidR="00117FA4" w:rsidRDefault="00A54415">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v odgovor na to prošnjo je treba opredeliti posebno podporo, ki jo države članice lahko </w:t>
      </w:r>
      <w:r>
        <w:rPr>
          <w:rFonts w:ascii="Times New Roman" w:hAnsi="Times New Roman"/>
          <w:noProof/>
          <w:sz w:val="24"/>
        </w:rPr>
        <w:t xml:space="preserve">zagotovijo s solidarnostnimi ukrepi. Države članice, ki so upravičene do podpore, morajo solidarnostne ukrepe, ki jih omogočajo države članice, uravnotežiti tako, da izpolnijo svojo obveznost in sprejmejo ustrezne ukrepe za upravljanje prihodov, </w:t>
      </w:r>
    </w:p>
    <w:p w:rsidR="00117FA4" w:rsidRDefault="00A54415">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vzpostavi</w:t>
      </w:r>
      <w:r>
        <w:rPr>
          <w:rFonts w:ascii="Times New Roman" w:hAnsi="Times New Roman"/>
          <w:noProof/>
          <w:sz w:val="24"/>
        </w:rPr>
        <w:t xml:space="preserve">ti bi bilo treba usklajevalno strukturo za spremljanje teh prošenj s strani držav članic, ki bi vključevala ključne zainteresirane strani, kot so Komisija in agencije EU, </w:t>
      </w:r>
    </w:p>
    <w:p w:rsidR="00117FA4" w:rsidRDefault="00A54415">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agencije EU so dobro opremljene za zagotavljanje potrebne pomoči na področjih, kot s</w:t>
      </w:r>
      <w:r>
        <w:rPr>
          <w:rFonts w:ascii="Times New Roman" w:hAnsi="Times New Roman"/>
          <w:noProof/>
          <w:sz w:val="24"/>
        </w:rPr>
        <w:t xml:space="preserve">o prvi sprejem, registracija, premestitev in vrnitev, </w:t>
      </w:r>
    </w:p>
    <w:p w:rsidR="00117FA4" w:rsidRDefault="00A54415">
      <w:pPr>
        <w:pStyle w:val="ListParagraph"/>
        <w:numPr>
          <w:ilvl w:val="0"/>
          <w:numId w:val="73"/>
        </w:numPr>
        <w:ind w:left="426" w:hanging="426"/>
        <w:jc w:val="both"/>
        <w:rPr>
          <w:rFonts w:ascii="Times New Roman" w:hAnsi="Times New Roman"/>
          <w:noProof/>
          <w:sz w:val="24"/>
          <w:szCs w:val="24"/>
        </w:rPr>
      </w:pPr>
      <w:r>
        <w:rPr>
          <w:rFonts w:ascii="Times New Roman" w:hAnsi="Times New Roman"/>
          <w:noProof/>
          <w:sz w:val="24"/>
        </w:rPr>
        <w:t>državam članicam, ki bodo prostovoljno premeščale osebe in bodo podpirale operacije vračanja, bo na voljo finančna podpora iz proračuna EU. Državam članicam pod pritiskom bi bila na voljo tudi finančna</w:t>
      </w:r>
      <w:r>
        <w:rPr>
          <w:rFonts w:ascii="Times New Roman" w:hAnsi="Times New Roman"/>
          <w:noProof/>
          <w:sz w:val="24"/>
        </w:rPr>
        <w:t xml:space="preserve"> podpora.</w:t>
      </w:r>
    </w:p>
    <w:p w:rsidR="00117FA4" w:rsidRDefault="00117FA4">
      <w:pPr>
        <w:rPr>
          <w:rFonts w:ascii="Times New Roman" w:hAnsi="Times New Roman"/>
          <w:noProof/>
          <w:sz w:val="24"/>
        </w:rPr>
      </w:pPr>
    </w:p>
    <w:tbl>
      <w:tblPr>
        <w:tblStyle w:val="TableGrid"/>
        <w:tblW w:w="0" w:type="auto"/>
        <w:tblLook w:val="04A0" w:firstRow="1" w:lastRow="0" w:firstColumn="1" w:lastColumn="0" w:noHBand="0" w:noVBand="1"/>
      </w:tblPr>
      <w:tblGrid>
        <w:gridCol w:w="9286"/>
      </w:tblGrid>
      <w:tr w:rsidR="00117FA4">
        <w:tc>
          <w:tcPr>
            <w:tcW w:w="9286" w:type="dxa"/>
            <w:shd w:val="clear" w:color="auto" w:fill="1F497D" w:themeFill="text2"/>
          </w:tcPr>
          <w:p w:rsidR="00117FA4" w:rsidRDefault="00A54415">
            <w:pPr>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Takojšnji ključni ukrepi</w:t>
            </w:r>
          </w:p>
        </w:tc>
      </w:tr>
      <w:tr w:rsidR="00117FA4">
        <w:tc>
          <w:tcPr>
            <w:tcW w:w="9286" w:type="dxa"/>
            <w:shd w:val="clear" w:color="auto" w:fill="C6D9F1" w:themeFill="text2" w:themeFillTint="33"/>
          </w:tcPr>
          <w:p w:rsidR="00117FA4" w:rsidRDefault="00A54415">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Nova pomoč, ki jo EU in Španija zagotavljata </w:t>
            </w:r>
            <w:r>
              <w:rPr>
                <w:rFonts w:ascii="Times New Roman" w:eastAsiaTheme="minorHAnsi" w:hAnsi="Times New Roman"/>
                <w:b/>
                <w:i/>
                <w:noProof/>
                <w:color w:val="000000"/>
                <w:sz w:val="24"/>
              </w:rPr>
              <w:t>Maroku</w:t>
            </w:r>
            <w:r>
              <w:rPr>
                <w:rFonts w:ascii="Times New Roman" w:eastAsiaTheme="minorHAnsi" w:hAnsi="Times New Roman"/>
                <w:noProof/>
                <w:color w:val="000000"/>
                <w:sz w:val="24"/>
              </w:rPr>
              <w:t xml:space="preserve">, bi morala biti namenjena zmanjšanju števila nedovoljenih prihodov z maroške obale ter privesti do nadaljnjega sodelovanja z Marokom in drugimi zadevnimi državami, da </w:t>
            </w:r>
            <w:r>
              <w:rPr>
                <w:rFonts w:ascii="Times New Roman" w:eastAsiaTheme="minorHAnsi" w:hAnsi="Times New Roman"/>
                <w:noProof/>
                <w:color w:val="000000"/>
                <w:sz w:val="24"/>
              </w:rPr>
              <w:t>se kot del celovitega pristopa poveča učinkovit ponovni sprejem migrantov brez urejenega statusa.</w:t>
            </w:r>
          </w:p>
          <w:p w:rsidR="00117FA4" w:rsidRDefault="00A54415">
            <w:pPr>
              <w:pStyle w:val="ListParagraph"/>
              <w:numPr>
                <w:ilvl w:val="0"/>
                <w:numId w:val="68"/>
              </w:numPr>
              <w:ind w:left="36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EU bi morala okrepiti prizadevanja projektne skupine Afriške unije in Evropske unije, da se nadalje izboljšajo </w:t>
            </w:r>
            <w:r>
              <w:rPr>
                <w:rFonts w:ascii="Times New Roman" w:eastAsiaTheme="minorHAnsi" w:hAnsi="Times New Roman"/>
                <w:b/>
                <w:i/>
                <w:noProof/>
                <w:color w:val="000000"/>
                <w:sz w:val="24"/>
              </w:rPr>
              <w:t>razmere v Libiji</w:t>
            </w:r>
            <w:r>
              <w:rPr>
                <w:rFonts w:ascii="Times New Roman" w:eastAsiaTheme="minorHAnsi" w:hAnsi="Times New Roman"/>
                <w:noProof/>
                <w:color w:val="000000"/>
                <w:sz w:val="24"/>
              </w:rPr>
              <w:t xml:space="preserve">, in si prizadevati za odpravo </w:t>
            </w:r>
            <w:r>
              <w:rPr>
                <w:rFonts w:ascii="Times New Roman" w:eastAsiaTheme="minorHAnsi" w:hAnsi="Times New Roman"/>
                <w:noProof/>
                <w:color w:val="000000"/>
                <w:sz w:val="24"/>
              </w:rPr>
              <w:t xml:space="preserve">sedanjega sistema centrov za pridržanje ter za premagovanje ovir pri dostopu s strani mednarodni organizacij in pri prostovoljnih vrnitvah migrantov in evakuacijah beguncev; </w:t>
            </w:r>
            <w:r>
              <w:rPr>
                <w:rFonts w:ascii="Times New Roman" w:hAnsi="Times New Roman"/>
                <w:noProof/>
                <w:sz w:val="24"/>
              </w:rPr>
              <w:t xml:space="preserve">zagotoviti bi bilo treba tudi sistematično in interoperabilno registracijo vseh izkrcanih in pridržanih migrantov. </w:t>
            </w:r>
          </w:p>
          <w:p w:rsidR="00117FA4" w:rsidRDefault="00A54415">
            <w:pPr>
              <w:numPr>
                <w:ilvl w:val="0"/>
                <w:numId w:val="68"/>
              </w:numPr>
              <w:ind w:left="360"/>
              <w:contextualSpacing/>
              <w:jc w:val="both"/>
              <w:rPr>
                <w:rFonts w:ascii="Times New Roman" w:hAnsi="Times New Roman"/>
                <w:noProof/>
                <w:color w:val="000000"/>
                <w:sz w:val="24"/>
                <w:szCs w:val="24"/>
              </w:rPr>
            </w:pPr>
            <w:r>
              <w:rPr>
                <w:rFonts w:ascii="Times New Roman" w:eastAsiaTheme="minorHAnsi" w:hAnsi="Times New Roman"/>
                <w:b/>
                <w:i/>
                <w:noProof/>
                <w:color w:val="000000"/>
                <w:sz w:val="24"/>
              </w:rPr>
              <w:t>Grčija</w:t>
            </w:r>
            <w:r>
              <w:rPr>
                <w:noProof/>
              </w:rPr>
              <w:t xml:space="preserve"> </w:t>
            </w:r>
            <w:r>
              <w:rPr>
                <w:rFonts w:ascii="Times New Roman" w:eastAsiaTheme="minorHAnsi" w:hAnsi="Times New Roman"/>
                <w:noProof/>
                <w:color w:val="000000"/>
                <w:sz w:val="24"/>
              </w:rPr>
              <w:t>bi morala nujno vzpostaviti učinkovito in trajnostno nacionalno strategijo o upravljanju migracij, da bi odpravila preostale pomanjkl</w:t>
            </w:r>
            <w:r>
              <w:rPr>
                <w:rFonts w:ascii="Times New Roman" w:eastAsiaTheme="minorHAnsi" w:hAnsi="Times New Roman"/>
                <w:noProof/>
                <w:color w:val="000000"/>
                <w:sz w:val="24"/>
              </w:rPr>
              <w:t xml:space="preserve">jivosti, na primer o vračanju in mladoletnikih brez spremstva, s čimer bi kar najbolje izkoristili obsežno podporo, ki jo zagotavlja EU. </w:t>
            </w:r>
          </w:p>
          <w:p w:rsidR="00117FA4" w:rsidRDefault="00A54415">
            <w:pPr>
              <w:pStyle w:val="ListParagraph"/>
              <w:numPr>
                <w:ilvl w:val="0"/>
                <w:numId w:val="68"/>
              </w:numPr>
              <w:ind w:left="360"/>
              <w:jc w:val="both"/>
              <w:rPr>
                <w:rFonts w:ascii="Times New Roman" w:hAnsi="Times New Roman"/>
                <w:noProof/>
                <w:sz w:val="24"/>
              </w:rPr>
            </w:pPr>
            <w:r>
              <w:rPr>
                <w:rFonts w:ascii="Times New Roman" w:eastAsiaTheme="minorHAnsi" w:hAnsi="Times New Roman"/>
                <w:noProof/>
                <w:sz w:val="24"/>
              </w:rPr>
              <w:t xml:space="preserve">Uvesti bi bilo treba niz </w:t>
            </w:r>
            <w:r>
              <w:rPr>
                <w:rFonts w:ascii="Times New Roman" w:eastAsiaTheme="minorHAnsi" w:hAnsi="Times New Roman"/>
                <w:b/>
                <w:i/>
                <w:noProof/>
                <w:sz w:val="24"/>
              </w:rPr>
              <w:t>začasnih dogovorov</w:t>
            </w:r>
            <w:r>
              <w:rPr>
                <w:rFonts w:ascii="Times New Roman" w:eastAsiaTheme="minorHAnsi" w:hAnsi="Times New Roman"/>
                <w:noProof/>
                <w:sz w:val="24"/>
              </w:rPr>
              <w:t xml:space="preserve"> o izkrcanju, v katerih bi bila z uporabo solidarnostnih ukrepov pripravlje</w:t>
            </w:r>
            <w:r>
              <w:rPr>
                <w:rFonts w:ascii="Times New Roman" w:eastAsiaTheme="minorHAnsi" w:hAnsi="Times New Roman"/>
                <w:noProof/>
                <w:sz w:val="24"/>
              </w:rPr>
              <w:t>na sodelovati kritična masa držav članic.</w:t>
            </w:r>
          </w:p>
        </w:tc>
      </w:tr>
    </w:tbl>
    <w:p w:rsidR="00117FA4" w:rsidRDefault="00117FA4">
      <w:pPr>
        <w:jc w:val="both"/>
        <w:rPr>
          <w:rFonts w:ascii="Times New Roman" w:hAnsi="Times New Roman"/>
          <w:b/>
          <w:noProof/>
          <w:color w:val="000000"/>
          <w:sz w:val="24"/>
        </w:rPr>
      </w:pPr>
    </w:p>
    <w:p w:rsidR="00117FA4" w:rsidRDefault="00117FA4">
      <w:pPr>
        <w:jc w:val="both"/>
        <w:rPr>
          <w:rFonts w:ascii="Times New Roman" w:hAnsi="Times New Roman"/>
          <w:b/>
          <w:noProof/>
          <w:color w:val="000000"/>
          <w:sz w:val="24"/>
          <w:szCs w:val="24"/>
        </w:rPr>
      </w:pPr>
    </w:p>
    <w:p w:rsidR="00117FA4" w:rsidRDefault="00A54415">
      <w:pPr>
        <w:pStyle w:val="ListParagraph"/>
        <w:numPr>
          <w:ilvl w:val="0"/>
          <w:numId w:val="2"/>
        </w:numPr>
        <w:jc w:val="both"/>
        <w:rPr>
          <w:rFonts w:ascii="Times New Roman" w:hAnsi="Times New Roman"/>
          <w:b/>
          <w:noProof/>
          <w:sz w:val="24"/>
          <w:szCs w:val="24"/>
        </w:rPr>
      </w:pPr>
      <w:r>
        <w:rPr>
          <w:rFonts w:ascii="Times New Roman" w:hAnsi="Times New Roman"/>
          <w:b/>
          <w:noProof/>
          <w:sz w:val="24"/>
        </w:rPr>
        <w:t>UPRAVLJANJE MIGRACIJ V ŠTIRIH STEBRIH</w:t>
      </w:r>
    </w:p>
    <w:p w:rsidR="00117FA4" w:rsidRDefault="00117FA4">
      <w:pPr>
        <w:pStyle w:val="ListParagraph"/>
        <w:jc w:val="both"/>
        <w:rPr>
          <w:rFonts w:ascii="Times New Roman" w:hAnsi="Times New Roman"/>
          <w:b/>
          <w:noProof/>
          <w:sz w:val="24"/>
          <w:szCs w:val="24"/>
        </w:rPr>
      </w:pPr>
    </w:p>
    <w:p w:rsidR="00117FA4" w:rsidRDefault="00A54415">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Odpravljanje vzrokov za nedovoljene migracije: sodelovanje s partnerji</w:t>
      </w:r>
    </w:p>
    <w:p w:rsidR="00117FA4" w:rsidRDefault="00117FA4">
      <w:pPr>
        <w:jc w:val="both"/>
        <w:rPr>
          <w:rFonts w:ascii="Times New Roman" w:hAnsi="Times New Roman"/>
          <w:noProof/>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 xml:space="preserve">Od sprejetja partnerskega okvira za migracije so migracije postale osrednje vprašanje v zunanjih </w:t>
      </w:r>
      <w:r>
        <w:rPr>
          <w:rFonts w:ascii="Times New Roman" w:hAnsi="Times New Roman"/>
          <w:noProof/>
          <w:color w:val="000000"/>
          <w:sz w:val="24"/>
        </w:rPr>
        <w:t>odnosih EU – globalna partnerstva in dolgoročno sodelovanje so ključni za upravljanje vseh vidikov migracij</w:t>
      </w:r>
      <w:r>
        <w:rPr>
          <w:rStyle w:val="FootnoteReference"/>
          <w:rFonts w:ascii="Times New Roman" w:hAnsi="Times New Roman"/>
          <w:noProof/>
          <w:color w:val="000000"/>
          <w:sz w:val="24"/>
        </w:rPr>
        <w:footnoteReference w:id="27"/>
      </w:r>
      <w:r>
        <w:rPr>
          <w:noProof/>
        </w:rPr>
        <w:t>.</w:t>
      </w:r>
      <w:r>
        <w:rPr>
          <w:rFonts w:ascii="Times New Roman" w:hAnsi="Times New Roman"/>
          <w:noProof/>
          <w:color w:val="000000"/>
          <w:sz w:val="24"/>
        </w:rPr>
        <w:t xml:space="preserve"> Migracije so trdno zasidrane v splošnih odnosih s partnerskimi državami. Za nadaljnje poglabljanje sodelovanja s partnerskimi državami je v dvostr</w:t>
      </w:r>
      <w:r>
        <w:rPr>
          <w:rFonts w:ascii="Times New Roman" w:hAnsi="Times New Roman"/>
          <w:noProof/>
          <w:color w:val="000000"/>
          <w:sz w:val="24"/>
        </w:rPr>
        <w:t>anskih, regionalnih in večstranskih forumih bistvenega pomena celovit in skupen pristop, ki temelji na večstranskosti.</w:t>
      </w:r>
    </w:p>
    <w:p w:rsidR="00117FA4" w:rsidRDefault="00117FA4">
      <w:pPr>
        <w:jc w:val="both"/>
        <w:rPr>
          <w:rFonts w:ascii="Times New Roman" w:hAnsi="Times New Roman"/>
          <w:noProof/>
          <w:color w:val="000000"/>
          <w:sz w:val="24"/>
          <w:szCs w:val="24"/>
        </w:rPr>
      </w:pPr>
    </w:p>
    <w:p w:rsidR="00117FA4" w:rsidRDefault="00A54415">
      <w:pPr>
        <w:keepNext/>
        <w:spacing w:after="120"/>
        <w:jc w:val="both"/>
        <w:rPr>
          <w:rFonts w:ascii="Times New Roman" w:hAnsi="Times New Roman"/>
          <w:i/>
          <w:noProof/>
          <w:color w:val="000000"/>
          <w:sz w:val="24"/>
          <w:szCs w:val="24"/>
        </w:rPr>
      </w:pPr>
      <w:r>
        <w:rPr>
          <w:rFonts w:ascii="Times New Roman" w:hAnsi="Times New Roman"/>
          <w:i/>
          <w:noProof/>
          <w:color w:val="000000"/>
          <w:sz w:val="24"/>
        </w:rPr>
        <w:t>Obravnava glavnih vzrokov migracij</w:t>
      </w: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Skrbniški sklad EU za Afriko se je izkazal za hitro in učinkovito orodje za izvajanje, ki olajšuje po</w:t>
      </w:r>
      <w:r>
        <w:rPr>
          <w:rFonts w:ascii="Times New Roman" w:hAnsi="Times New Roman"/>
          <w:noProof/>
          <w:color w:val="000000"/>
          <w:sz w:val="24"/>
        </w:rPr>
        <w:t>litični dialog s partnerskimi državami, uporablja inovativne pristope in daje konkretne rezultate z združevanjem financiranja in strokovnega znanja različnih zainteresiranih strani, zlasti držav članic EU. Od leta 2016, ko je skrbniški sklad začel delovati</w:t>
      </w:r>
      <w:r>
        <w:rPr>
          <w:rFonts w:ascii="Times New Roman" w:hAnsi="Times New Roman"/>
          <w:noProof/>
          <w:color w:val="000000"/>
          <w:sz w:val="24"/>
        </w:rPr>
        <w:t>, so sredstva znašala</w:t>
      </w:r>
      <w:r>
        <w:rPr>
          <w:noProof/>
        </w:rPr>
        <w:t xml:space="preserve"> </w:t>
      </w:r>
      <w:r>
        <w:rPr>
          <w:rFonts w:ascii="Times New Roman" w:hAnsi="Times New Roman"/>
          <w:noProof/>
          <w:sz w:val="24"/>
        </w:rPr>
        <w:t xml:space="preserve">več kot 4,2 milijarde EUR, zdaj pa je bil dosežen dogovor o več kot </w:t>
      </w:r>
      <w:r>
        <w:rPr>
          <w:rFonts w:ascii="Times New Roman" w:hAnsi="Times New Roman"/>
          <w:noProof/>
          <w:color w:val="000000"/>
          <w:sz w:val="24"/>
        </w:rPr>
        <w:t>188 programih</w:t>
      </w:r>
      <w:r>
        <w:rPr>
          <w:rStyle w:val="FootnoteReference"/>
          <w:rFonts w:ascii="Times New Roman" w:hAnsi="Times New Roman"/>
          <w:noProof/>
          <w:color w:val="000000"/>
          <w:sz w:val="24"/>
        </w:rPr>
        <w:footnoteReference w:id="28"/>
      </w:r>
      <w:r>
        <w:rPr>
          <w:noProof/>
        </w:rPr>
        <w:t>.</w:t>
      </w:r>
      <w:r>
        <w:rPr>
          <w:rFonts w:ascii="Times New Roman" w:hAnsi="Times New Roman"/>
          <w:noProof/>
          <w:color w:val="000000"/>
          <w:sz w:val="24"/>
        </w:rPr>
        <w:t xml:space="preserve"> Pomembno je, da se doseženi napredek ohranja. Vendar pa brez dodatnih nacionalnih prispevkov skrbniški sklad EU ne bo mogel financirati novih pobud al</w:t>
      </w:r>
      <w:r>
        <w:rPr>
          <w:rFonts w:ascii="Times New Roman" w:hAnsi="Times New Roman"/>
          <w:noProof/>
          <w:color w:val="000000"/>
          <w:sz w:val="24"/>
        </w:rPr>
        <w:t>i izboljšati zelo pomembnih programov, ki že danes prinašajo rezultate: poleg vrzeli v oddelku za severni del Afrike je vrzel v financiranju za leto 2019 že nastala tudi za oddelka za Sahel in Čadsko jezero. Prav tako je še vedno bistveno, da prožnost in o</w:t>
      </w:r>
      <w:r>
        <w:rPr>
          <w:rFonts w:ascii="Times New Roman" w:hAnsi="Times New Roman"/>
          <w:noProof/>
          <w:color w:val="000000"/>
          <w:sz w:val="24"/>
        </w:rPr>
        <w:t xml:space="preserve">dzivnost, ki ju zagotavljajo skrbniški skladi, ostaneta ključna elementa v okviru naslednjega večletnega finančnega okvira in da se zagotovi neprekinjeno delovanje. </w:t>
      </w:r>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i/>
          <w:noProof/>
          <w:sz w:val="24"/>
          <w:szCs w:val="24"/>
        </w:rPr>
      </w:pPr>
      <w:r>
        <w:rPr>
          <w:rFonts w:ascii="Times New Roman" w:hAnsi="Times New Roman"/>
          <w:noProof/>
          <w:sz w:val="24"/>
        </w:rPr>
        <w:t>V okviru načrta za zunanje naložbe bo zagotovljena nadaljnja podpora za preživetje in gos</w:t>
      </w:r>
      <w:r>
        <w:rPr>
          <w:rFonts w:ascii="Times New Roman" w:hAnsi="Times New Roman"/>
          <w:noProof/>
          <w:sz w:val="24"/>
        </w:rPr>
        <w:t>podarstva v podsaharski Afriki in sosedstvu EU. Vsota v višini 1,54 milijarde EUR za 28 programov jamstev, ki je zdaj odobrena, bi morala sprostiti do 17,5 milijarde EUR naložb, in sicer na področjih, kot so dostop do financiranja mikro-, malih in srednjih</w:t>
      </w:r>
      <w:r>
        <w:rPr>
          <w:rFonts w:ascii="Times New Roman" w:hAnsi="Times New Roman"/>
          <w:noProof/>
          <w:sz w:val="24"/>
        </w:rPr>
        <w:t xml:space="preserve"> podjetij, energija in povezljivost, mesta, kmetijstvo ter digitalizacija (vključno z e-zdravjem)</w:t>
      </w:r>
      <w:r>
        <w:rPr>
          <w:rStyle w:val="FootnoteReference"/>
          <w:rFonts w:ascii="Times New Roman" w:hAnsi="Times New Roman"/>
          <w:noProof/>
          <w:sz w:val="24"/>
        </w:rPr>
        <w:footnoteReference w:id="29"/>
      </w:r>
      <w:r>
        <w:rPr>
          <w:noProof/>
        </w:rPr>
        <w:t>.</w:t>
      </w:r>
      <w:r>
        <w:rPr>
          <w:rFonts w:ascii="Times New Roman" w:hAnsi="Times New Roman"/>
          <w:noProof/>
          <w:sz w:val="24"/>
        </w:rPr>
        <w:t xml:space="preserve"> Skupaj s 94 odobrenimi projekti z mešanim financiranjem, za katere je bilo dodeljenih 2,2 milijarde EUR in ki naj bi sprostili 19,5 milijarde EUR naložb, so</w:t>
      </w:r>
      <w:r>
        <w:rPr>
          <w:rFonts w:ascii="Times New Roman" w:hAnsi="Times New Roman"/>
          <w:noProof/>
          <w:sz w:val="24"/>
        </w:rPr>
        <w:t xml:space="preserve"> pričakovane naložbe skupaj dosegle okoli 37 milijard EUR, načrt pa je na dobri poti, da izpolni začetno napoved vzvoda v višini 44 milijard EUR, kar bo močno spodbudilo gospodarsko dinamiko. </w:t>
      </w:r>
    </w:p>
    <w:p w:rsidR="00117FA4" w:rsidRDefault="00117FA4">
      <w:pPr>
        <w:jc w:val="both"/>
        <w:rPr>
          <w:rFonts w:ascii="Times New Roman" w:hAnsi="Times New Roman"/>
          <w:noProof/>
          <w:color w:val="000000"/>
          <w:sz w:val="24"/>
          <w:szCs w:val="24"/>
        </w:rPr>
      </w:pPr>
    </w:p>
    <w:p w:rsidR="00117FA4" w:rsidRDefault="00A54415">
      <w:pPr>
        <w:keepNext/>
        <w:spacing w:after="120"/>
        <w:jc w:val="both"/>
        <w:rPr>
          <w:rFonts w:ascii="Times New Roman" w:hAnsi="Times New Roman"/>
          <w:i/>
          <w:noProof/>
          <w:color w:val="000000"/>
          <w:sz w:val="24"/>
          <w:szCs w:val="24"/>
        </w:rPr>
      </w:pPr>
      <w:r>
        <w:rPr>
          <w:rFonts w:ascii="Times New Roman" w:hAnsi="Times New Roman"/>
          <w:i/>
          <w:noProof/>
          <w:color w:val="000000"/>
          <w:sz w:val="24"/>
        </w:rPr>
        <w:t>Boj proti tihotapskim mrežam</w:t>
      </w:r>
    </w:p>
    <w:p w:rsidR="00117FA4" w:rsidRDefault="00A54415">
      <w:pPr>
        <w:jc w:val="both"/>
        <w:rPr>
          <w:rFonts w:ascii="Times New Roman" w:hAnsi="Times New Roman"/>
          <w:noProof/>
          <w:sz w:val="24"/>
          <w:szCs w:val="24"/>
        </w:rPr>
      </w:pPr>
      <w:r>
        <w:rPr>
          <w:rFonts w:ascii="Times New Roman" w:hAnsi="Times New Roman"/>
          <w:noProof/>
          <w:sz w:val="24"/>
        </w:rPr>
        <w:t>Da bi razdrli poslovni model tiho</w:t>
      </w:r>
      <w:r>
        <w:rPr>
          <w:rFonts w:ascii="Times New Roman" w:hAnsi="Times New Roman"/>
          <w:noProof/>
          <w:sz w:val="24"/>
        </w:rPr>
        <w:t>tapcev in razbili kriminalne mreže, so potrebni odločni in trajnostni ukrepi znotraj in zunaj EU. To je oktobra 2018 ponovil Evropski svet, ki je decembra 2018</w:t>
      </w:r>
      <w:r>
        <w:rPr>
          <w:rStyle w:val="FootnoteReference"/>
          <w:rFonts w:ascii="Times New Roman" w:hAnsi="Times New Roman"/>
          <w:noProof/>
          <w:sz w:val="24"/>
        </w:rPr>
        <w:footnoteReference w:id="30"/>
      </w:r>
      <w:r>
        <w:rPr>
          <w:rFonts w:ascii="Times New Roman" w:hAnsi="Times New Roman"/>
          <w:noProof/>
          <w:sz w:val="24"/>
        </w:rPr>
        <w:t xml:space="preserve"> sprejel vrsto operativnih ukrepov za izboljšanje sodelovanja na področju kazenskega pregona in </w:t>
      </w:r>
      <w:r>
        <w:rPr>
          <w:rFonts w:ascii="Times New Roman" w:hAnsi="Times New Roman"/>
          <w:noProof/>
          <w:sz w:val="24"/>
        </w:rPr>
        <w:t>za dopolnitev obstoječega akcijskega načrta EU za boj proti tihotapljenju migrantov</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w:t>
      </w:r>
    </w:p>
    <w:p w:rsidR="00117FA4" w:rsidRDefault="00117FA4">
      <w:pPr>
        <w:jc w:val="both"/>
        <w:rPr>
          <w:rFonts w:ascii="Times New Roman" w:hAnsi="Times New Roman"/>
          <w:noProof/>
          <w:sz w:val="24"/>
          <w:szCs w:val="24"/>
        </w:rPr>
      </w:pPr>
    </w:p>
    <w:p w:rsidR="00117FA4" w:rsidRDefault="00A54415">
      <w:pPr>
        <w:jc w:val="both"/>
        <w:rPr>
          <w:rFonts w:ascii="Times New Roman" w:hAnsi="Times New Roman"/>
          <w:noProof/>
          <w:sz w:val="24"/>
        </w:rPr>
      </w:pPr>
      <w:r>
        <w:rPr>
          <w:rFonts w:ascii="Times New Roman" w:hAnsi="Times New Roman"/>
          <w:noProof/>
          <w:sz w:val="24"/>
        </w:rPr>
        <w:t xml:space="preserve">Boj proti tihotapskim mrežam je ključni del sodelovanja EU s tretjimi partnerskimi državami. </w:t>
      </w:r>
      <w:r>
        <w:rPr>
          <w:rFonts w:ascii="Times New Roman" w:hAnsi="Times New Roman"/>
          <w:noProof/>
          <w:color w:val="000000"/>
          <w:sz w:val="24"/>
        </w:rPr>
        <w:t xml:space="preserve">V okviru skrbniškega sklada se bo izvajalo novo operativno partnerstvo, ki </w:t>
      </w:r>
      <w:r>
        <w:rPr>
          <w:rFonts w:ascii="Times New Roman" w:hAnsi="Times New Roman"/>
          <w:noProof/>
          <w:color w:val="000000"/>
          <w:sz w:val="24"/>
        </w:rPr>
        <w:t xml:space="preserve">ga bo vodila Francija, skupaj s Senegalom. V Nigru so skupne preiskovalne skupine, ki zajemajo nigrske, francoske in španske organe, izvedle več kot 200 pregonov. Zdaj je treba to pozornost usmeriti na južno mejo Libije, na meje med Nigrom in Alžirijo ter </w:t>
      </w:r>
      <w:r>
        <w:rPr>
          <w:rFonts w:ascii="Times New Roman" w:hAnsi="Times New Roman"/>
          <w:noProof/>
          <w:color w:val="000000"/>
          <w:sz w:val="24"/>
        </w:rPr>
        <w:t>meje med Nigrom in Nigerijo. Poleg tega</w:t>
      </w:r>
      <w:r>
        <w:rPr>
          <w:rFonts w:ascii="Times New Roman" w:hAnsi="Times New Roman"/>
          <w:noProof/>
          <w:sz w:val="24"/>
        </w:rPr>
        <w:t xml:space="preserve"> se je letos začelo izvajati šest informacijskih kampanj in kampanj za ozaveščanje o tveganjih nezakonitih migracij, in sicer na Slonokoščeni obali, v Nigru, Tuniziji, Maliju, Gvineji in Gambiji</w:t>
      </w:r>
      <w:r>
        <w:rPr>
          <w:rStyle w:val="FootnoteReference"/>
          <w:rFonts w:ascii="Times New Roman" w:hAnsi="Times New Roman"/>
          <w:noProof/>
          <w:sz w:val="24"/>
        </w:rPr>
        <w:footnoteReference w:id="32"/>
      </w:r>
      <w:r>
        <w:rPr>
          <w:noProof/>
        </w:rPr>
        <w:t>.</w:t>
      </w:r>
    </w:p>
    <w:p w:rsidR="00117FA4" w:rsidRDefault="00117FA4">
      <w:pPr>
        <w:ind w:left="-51"/>
        <w:jc w:val="both"/>
        <w:rPr>
          <w:rFonts w:ascii="Times New Roman" w:hAnsi="Times New Roman"/>
          <w:noProof/>
          <w:color w:val="000000"/>
          <w:sz w:val="24"/>
          <w:szCs w:val="24"/>
        </w:rPr>
      </w:pPr>
    </w:p>
    <w:p w:rsidR="00117FA4" w:rsidRDefault="00A54415">
      <w:pPr>
        <w:ind w:left="-51"/>
        <w:jc w:val="both"/>
        <w:rPr>
          <w:rFonts w:ascii="Times New Roman" w:hAnsi="Times New Roman"/>
          <w:noProof/>
          <w:sz w:val="24"/>
          <w:szCs w:val="24"/>
        </w:rPr>
      </w:pPr>
      <w:r>
        <w:rPr>
          <w:rFonts w:ascii="Times New Roman" w:hAnsi="Times New Roman"/>
          <w:noProof/>
          <w:color w:val="000000"/>
          <w:sz w:val="24"/>
        </w:rPr>
        <w:t>Prizadevanja na pod</w:t>
      </w:r>
      <w:r>
        <w:rPr>
          <w:rFonts w:ascii="Times New Roman" w:hAnsi="Times New Roman"/>
          <w:noProof/>
          <w:color w:val="000000"/>
          <w:sz w:val="24"/>
        </w:rPr>
        <w:t>ročju boja proti tihotapskim mrežam so podprta z vse večjo infrastrukturo. Posredovalnica informacij izboljšuje obveščevalne zmogljivosti Europola in podpira kazenski pregon. Celica za informacije o kriminalu, ki je pilotni projekt v okviru operacije Sophi</w:t>
      </w:r>
      <w:r>
        <w:rPr>
          <w:rFonts w:ascii="Times New Roman" w:hAnsi="Times New Roman"/>
          <w:noProof/>
          <w:color w:val="000000"/>
          <w:sz w:val="24"/>
        </w:rPr>
        <w:t>a, omogoča izmenjavo informacij med civilnimi in vojaškimi akterji. Operacije v okviru skupne varnostne in obrambne politike v Sahelu so vse bolj povezane in imajo regionalni učinek. Evropski migracijski uradniki za zveze, ki jih je Komisija napotila v dva</w:t>
      </w:r>
      <w:r>
        <w:rPr>
          <w:rFonts w:ascii="Times New Roman" w:hAnsi="Times New Roman"/>
          <w:noProof/>
          <w:color w:val="000000"/>
          <w:sz w:val="24"/>
        </w:rPr>
        <w:t>najst prednostnih partnerskih držav, delujejo kot ključni komunikacijski kanali</w:t>
      </w:r>
      <w:r>
        <w:rPr>
          <w:rStyle w:val="FootnoteReference"/>
          <w:rFonts w:ascii="Times New Roman" w:hAnsi="Times New Roman"/>
          <w:noProof/>
          <w:color w:val="000000"/>
          <w:sz w:val="24"/>
        </w:rPr>
        <w:footnoteReference w:id="33"/>
      </w:r>
      <w:r>
        <w:rPr>
          <w:noProof/>
        </w:rPr>
        <w:t>.</w:t>
      </w:r>
      <w:r>
        <w:rPr>
          <w:rFonts w:ascii="Times New Roman" w:hAnsi="Times New Roman"/>
          <w:noProof/>
          <w:color w:val="000000"/>
          <w:sz w:val="24"/>
        </w:rPr>
        <w:t xml:space="preserve"> S političnim dogovorom med Evropskim parlamentom in Svetom o nedavnem predlogu Komisije</w:t>
      </w:r>
      <w:r>
        <w:rPr>
          <w:rStyle w:val="FootnoteReference"/>
          <w:rFonts w:ascii="Times New Roman" w:hAnsi="Times New Roman"/>
          <w:noProof/>
          <w:color w:val="000000"/>
          <w:sz w:val="24"/>
        </w:rPr>
        <w:footnoteReference w:id="34"/>
      </w:r>
      <w:r>
        <w:rPr>
          <w:rFonts w:ascii="Times New Roman" w:hAnsi="Times New Roman"/>
          <w:noProof/>
          <w:color w:val="000000"/>
          <w:sz w:val="24"/>
        </w:rPr>
        <w:t xml:space="preserve"> bo še dodatno okrepljeno usklajevanje med mrežami migracijskih uradnikov za zveze, ki</w:t>
      </w:r>
      <w:r>
        <w:rPr>
          <w:rFonts w:ascii="Times New Roman" w:hAnsi="Times New Roman"/>
          <w:noProof/>
          <w:color w:val="000000"/>
          <w:sz w:val="24"/>
        </w:rPr>
        <w:t xml:space="preserve"> jih upravljajo države članice, Komisija in agencije EU. </w:t>
      </w:r>
    </w:p>
    <w:p w:rsidR="00117FA4" w:rsidRDefault="00117FA4">
      <w:pPr>
        <w:ind w:left="-51"/>
        <w:jc w:val="both"/>
        <w:rPr>
          <w:rFonts w:ascii="Times New Roman" w:hAnsi="Times New Roman"/>
          <w:noProof/>
          <w:sz w:val="24"/>
          <w:szCs w:val="24"/>
        </w:rPr>
      </w:pPr>
    </w:p>
    <w:p w:rsidR="00117FA4" w:rsidRDefault="00A54415">
      <w:pPr>
        <w:ind w:left="-51"/>
        <w:jc w:val="both"/>
        <w:rPr>
          <w:rFonts w:ascii="Times New Roman" w:hAnsi="Times New Roman"/>
          <w:noProof/>
          <w:sz w:val="24"/>
          <w:szCs w:val="24"/>
        </w:rPr>
      </w:pPr>
      <w:r>
        <w:rPr>
          <w:rFonts w:ascii="Times New Roman" w:hAnsi="Times New Roman"/>
          <w:noProof/>
          <w:sz w:val="24"/>
        </w:rPr>
        <w:t>V EU se operativno sodelovanje držav članic podpira v okviru dni skupnih ukrepov, pri čemer sodelujejo države članice, tretje države, agencije EU in zunanje partnerske države</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Leta 2018 je Evropsk</w:t>
      </w:r>
      <w:r>
        <w:rPr>
          <w:rFonts w:ascii="Times New Roman" w:hAnsi="Times New Roman"/>
          <w:noProof/>
          <w:sz w:val="24"/>
        </w:rPr>
        <w:t xml:space="preserve">i center za boj proti tihotapljenju migrantov pod okriljem Europola podprl 39 dni skupnega in običajnega ukrepanja, kar je privedlo do 607 aretacij in 101 prednostnih kazenskih zadev. Izmenjava informacij je še vedno ključna: </w:t>
      </w:r>
      <w:r>
        <w:rPr>
          <w:rFonts w:ascii="Times New Roman" w:hAnsi="Times New Roman"/>
          <w:noProof/>
          <w:color w:val="000000"/>
          <w:sz w:val="24"/>
        </w:rPr>
        <w:t>Eurostat poskusno izvaja zbira</w:t>
      </w:r>
      <w:r>
        <w:rPr>
          <w:rFonts w:ascii="Times New Roman" w:hAnsi="Times New Roman"/>
          <w:noProof/>
          <w:color w:val="000000"/>
          <w:sz w:val="24"/>
        </w:rPr>
        <w:t>nje statističnih podatkov o kazenskem pravosodju v zvezi s tihotapljenjem migrantov, kar je zelo koristno za analiziranje trendov in odzivanje nanje.</w:t>
      </w:r>
    </w:p>
    <w:p w:rsidR="00117FA4" w:rsidRDefault="00117FA4">
      <w:pPr>
        <w:jc w:val="both"/>
        <w:rPr>
          <w:rFonts w:ascii="Times New Roman" w:hAnsi="Times New Roman"/>
          <w:noProof/>
          <w:color w:val="000000"/>
          <w:sz w:val="24"/>
          <w:szCs w:val="24"/>
        </w:rPr>
      </w:pPr>
    </w:p>
    <w:p w:rsidR="00117FA4" w:rsidRDefault="00A54415">
      <w:pPr>
        <w:keepNext/>
        <w:spacing w:after="120"/>
        <w:jc w:val="both"/>
        <w:rPr>
          <w:rFonts w:ascii="Times New Roman" w:hAnsi="Times New Roman"/>
          <w:i/>
          <w:noProof/>
          <w:color w:val="000000"/>
          <w:sz w:val="24"/>
          <w:szCs w:val="24"/>
        </w:rPr>
      </w:pPr>
      <w:r>
        <w:rPr>
          <w:rFonts w:ascii="Times New Roman" w:hAnsi="Times New Roman"/>
          <w:i/>
          <w:noProof/>
          <w:color w:val="000000"/>
          <w:sz w:val="24"/>
        </w:rPr>
        <w:t>Vrnitev in ponovni sprejem</w:t>
      </w: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Zviševanje nizke stopnje vračanja iz EU mora ostati ključni cilj in je nepogre</w:t>
      </w:r>
      <w:r>
        <w:rPr>
          <w:rFonts w:ascii="Times New Roman" w:hAnsi="Times New Roman"/>
          <w:noProof/>
          <w:color w:val="000000"/>
          <w:sz w:val="24"/>
        </w:rPr>
        <w:t>šljivo pri upravljanju migracij. Nizke stopnje vračanja ogrožajo verodostojnost sistema za javnost in spodbujajo nedovoljene migracije in sekundarna gibanja. Zato je treba ukrepati znotraj EU in hkrati sodelovati s tretjimi državami. Države članice bi mora</w:t>
      </w:r>
      <w:r>
        <w:rPr>
          <w:rFonts w:ascii="Times New Roman" w:hAnsi="Times New Roman"/>
          <w:noProof/>
          <w:color w:val="000000"/>
          <w:sz w:val="24"/>
        </w:rPr>
        <w:t>le sprejeti takojšnje ukrepe za izboljšanje svojih notranjih postopkov vračanja, da se zagotovi humano in hitro vračanje oseb, ki ne potrebujejo mednarodne zaščite – na podlagi akcijskega načrta in konkretnih priporočil, ki jih je Komisija navedla leta 201</w:t>
      </w:r>
      <w:r>
        <w:rPr>
          <w:rFonts w:ascii="Times New Roman" w:hAnsi="Times New Roman"/>
          <w:noProof/>
          <w:color w:val="000000"/>
          <w:sz w:val="24"/>
        </w:rPr>
        <w:t>7</w:t>
      </w:r>
      <w:r>
        <w:rPr>
          <w:rStyle w:val="FootnoteReference"/>
          <w:rFonts w:ascii="Times New Roman" w:hAnsi="Times New Roman"/>
          <w:noProof/>
          <w:color w:val="000000"/>
          <w:sz w:val="24"/>
        </w:rPr>
        <w:footnoteReference w:id="36"/>
      </w:r>
      <w:r>
        <w:rPr>
          <w:noProof/>
        </w:rPr>
        <w:t>.</w:t>
      </w:r>
      <w:r>
        <w:rPr>
          <w:rFonts w:ascii="Times New Roman" w:hAnsi="Times New Roman"/>
          <w:noProof/>
          <w:color w:val="000000"/>
          <w:sz w:val="24"/>
        </w:rPr>
        <w:t xml:space="preserve"> Ti so pokazali, kako bi obstoječe pravne, operativne in finančne instrumente EU lahko bolje uporabili s hitrejšimi postopki, strožjimi ukrepi proti pobegom, multidisciplinarnim pristopom nacionalnih organov ter boljšim sodelovanjem in usklajevanjem med</w:t>
      </w:r>
      <w:r>
        <w:rPr>
          <w:rFonts w:ascii="Times New Roman" w:hAnsi="Times New Roman"/>
          <w:noProof/>
          <w:color w:val="000000"/>
          <w:sz w:val="24"/>
        </w:rPr>
        <w:t xml:space="preserve"> državami članicami. </w:t>
      </w:r>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Take takojšnje ukrepe držav članic bi bilo treba podpreti z dodatnimi ukrepi EU. Na novo sprejete reforme schengenskega informacijskega sistema bodo znatno okrepile zmogljivosti držav članic za izvrševanje odločb o vrnitvi in prepove</w:t>
      </w:r>
      <w:r>
        <w:rPr>
          <w:rFonts w:ascii="Times New Roman" w:hAnsi="Times New Roman"/>
          <w:noProof/>
          <w:color w:val="000000"/>
          <w:sz w:val="24"/>
        </w:rPr>
        <w:t>di vstopa</w:t>
      </w:r>
      <w:r>
        <w:rPr>
          <w:rStyle w:val="FootnoteReference"/>
          <w:rFonts w:ascii="Times New Roman" w:hAnsi="Times New Roman"/>
          <w:noProof/>
          <w:color w:val="000000"/>
          <w:sz w:val="24"/>
        </w:rPr>
        <w:footnoteReference w:id="37"/>
      </w:r>
      <w:r>
        <w:rPr>
          <w:noProof/>
        </w:rPr>
        <w:t>.</w:t>
      </w:r>
      <w:r>
        <w:rPr>
          <w:rFonts w:ascii="Times New Roman" w:hAnsi="Times New Roman"/>
          <w:noProof/>
          <w:color w:val="000000"/>
          <w:sz w:val="24"/>
        </w:rPr>
        <w:t xml:space="preserve"> Poleg tega se je znatno povečala podpora Evropske agencije za mejno in obalno stražo pri vračanju, in sicer tako s sodelovanjem kot z operativnimi ukrepi na področjih, ki vključujejo lete za vračanje in vlogo konzulatov</w:t>
      </w:r>
      <w:r>
        <w:rPr>
          <w:rStyle w:val="FootnoteReference"/>
          <w:rFonts w:ascii="Times New Roman" w:hAnsi="Times New Roman"/>
          <w:noProof/>
          <w:color w:val="000000"/>
          <w:sz w:val="24"/>
        </w:rPr>
        <w:footnoteReference w:id="38"/>
      </w:r>
      <w:r>
        <w:rPr>
          <w:noProof/>
        </w:rPr>
        <w:t>.</w:t>
      </w:r>
      <w:r>
        <w:rPr>
          <w:rFonts w:ascii="Times New Roman" w:hAnsi="Times New Roman"/>
          <w:noProof/>
          <w:color w:val="000000"/>
          <w:sz w:val="24"/>
        </w:rPr>
        <w:t xml:space="preserve"> Vendar je treba storit</w:t>
      </w:r>
      <w:r>
        <w:rPr>
          <w:rFonts w:ascii="Times New Roman" w:hAnsi="Times New Roman"/>
          <w:noProof/>
          <w:color w:val="000000"/>
          <w:sz w:val="24"/>
        </w:rPr>
        <w:t>i še več. Prvi naslednji korak bi moral biti predlog Komisije za reformo direktive o vračanju</w:t>
      </w:r>
      <w:r>
        <w:rPr>
          <w:rStyle w:val="FootnoteReference"/>
          <w:rFonts w:ascii="Times New Roman" w:hAnsi="Times New Roman"/>
          <w:noProof/>
          <w:color w:val="000000"/>
          <w:sz w:val="24"/>
        </w:rPr>
        <w:footnoteReference w:id="39"/>
      </w:r>
      <w:r>
        <w:rPr>
          <w:noProof/>
        </w:rPr>
        <w:t>:</w:t>
      </w:r>
      <w:r>
        <w:rPr>
          <w:rFonts w:ascii="Times New Roman" w:hAnsi="Times New Roman"/>
          <w:noProof/>
          <w:color w:val="000000"/>
          <w:sz w:val="24"/>
        </w:rPr>
        <w:t xml:space="preserve"> hitro sprejetje tega predloga bi zelo povečalo doslednost in učinkovitost postopkov vračanja, hkrati pa bi se ohranile temeljne pravice in spoštovalo </w:t>
      </w:r>
      <w:r>
        <w:rPr>
          <w:rFonts w:ascii="Times New Roman" w:hAnsi="Times New Roman"/>
          <w:i/>
          <w:noProof/>
          <w:color w:val="000000"/>
          <w:sz w:val="24"/>
        </w:rPr>
        <w:t>načelo nev</w:t>
      </w:r>
      <w:r>
        <w:rPr>
          <w:rFonts w:ascii="Times New Roman" w:hAnsi="Times New Roman"/>
          <w:i/>
          <w:noProof/>
          <w:color w:val="000000"/>
          <w:sz w:val="24"/>
        </w:rPr>
        <w:t>račanja</w:t>
      </w:r>
      <w:r>
        <w:rPr>
          <w:rStyle w:val="FootnoteReference"/>
          <w:rFonts w:ascii="Times New Roman" w:hAnsi="Times New Roman"/>
          <w:noProof/>
          <w:color w:val="000000"/>
          <w:sz w:val="24"/>
        </w:rPr>
        <w:footnoteReference w:id="40"/>
      </w:r>
      <w:r>
        <w:rPr>
          <w:noProof/>
        </w:rPr>
        <w:t xml:space="preserve"> .</w:t>
      </w:r>
      <w:r>
        <w:rPr>
          <w:rFonts w:ascii="Times New Roman" w:hAnsi="Times New Roman"/>
          <w:noProof/>
          <w:color w:val="000000"/>
          <w:sz w:val="24"/>
        </w:rPr>
        <w:t xml:space="preserve"> </w:t>
      </w:r>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Vlaganje v dialog s partnerskimi državami je v zadnjih štirih letih prineslo oprijemljiv napredek. Sodelovanje v okviru sedemnajstih obstoječih sporazumov o ponovnem sprejemu in šestih novejših praktičnih dogovorih je ob operativni podpori obrodilo rezulta</w:t>
      </w:r>
      <w:r>
        <w:rPr>
          <w:rFonts w:ascii="Times New Roman" w:hAnsi="Times New Roman"/>
          <w:noProof/>
          <w:color w:val="000000"/>
          <w:sz w:val="24"/>
        </w:rPr>
        <w:t xml:space="preserve">te na področjih identifikacije, zagotavljanja dokumentov in urejenega vračanja. Da bi bil ta okvir v celoti izkoriščen in da bi bilo mogoče zadostiti morebitnemu povečanju potreb po vračanju v prihodnosti, morajo države članice izkoristiti priložnosti, ki </w:t>
      </w:r>
      <w:r>
        <w:rPr>
          <w:rFonts w:ascii="Times New Roman" w:hAnsi="Times New Roman"/>
          <w:noProof/>
          <w:color w:val="000000"/>
          <w:sz w:val="24"/>
        </w:rPr>
        <w:t>jih ta okvir ponuja, dejavno sodelovati pri upravljanju sporazumov in dogovorov ter Komisiji sporočiti morebitne težave pri izvajanju. EU in njene države članice podpirajo tudi ponovno vključevanje vrnjenih oseb v družbo: od maja 2017 je pomoč za ponovno v</w:t>
      </w:r>
      <w:r>
        <w:rPr>
          <w:rFonts w:ascii="Times New Roman" w:hAnsi="Times New Roman"/>
          <w:noProof/>
          <w:color w:val="000000"/>
          <w:sz w:val="24"/>
        </w:rPr>
        <w:t xml:space="preserve">ključevanje v družbo prejelo več kot 60 100 migrantov. </w:t>
      </w:r>
    </w:p>
    <w:p w:rsidR="00117FA4" w:rsidRDefault="00117FA4">
      <w:pPr>
        <w:jc w:val="both"/>
        <w:rPr>
          <w:rFonts w:ascii="Times New Roman" w:hAnsi="Times New Roman"/>
          <w:noProof/>
          <w:color w:val="000000"/>
          <w:sz w:val="24"/>
          <w:szCs w:val="24"/>
        </w:rPr>
      </w:pPr>
    </w:p>
    <w:p w:rsidR="00117FA4" w:rsidRDefault="00A54415">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Komisija si bo prizadevala za razvoj novih dogovorov z drugimi partnerskimi državami. V Nigeriji, Tuniziji in na Kitajskem potekajo pogajanja o ponovnem sprejemu, z Marokom pa naj bi se kmalu </w:t>
      </w:r>
      <w:r>
        <w:rPr>
          <w:rFonts w:ascii="Times New Roman" w:hAnsi="Times New Roman"/>
          <w:noProof/>
          <w:color w:val="000000"/>
          <w:sz w:val="24"/>
        </w:rPr>
        <w:t>nadaljevala. Po potrebi bi bilo treba uporabiti več stopenj finančnega vzvoda z vseh zadevnih področij politike EU, in sicer ob upoštevanju finančnega vzvoda na ravni držav članic. Vizumska politika EU je že pomagala olajšati pogajanja o ponovnem sprejemu,</w:t>
      </w:r>
      <w:r>
        <w:rPr>
          <w:rFonts w:ascii="Times New Roman" w:hAnsi="Times New Roman"/>
          <w:noProof/>
          <w:color w:val="000000"/>
          <w:sz w:val="24"/>
        </w:rPr>
        <w:t xml:space="preserve"> mehanizem za zadržanje izvzetja iz vizumske obveznosti pa je pomagal pri pozornem spremljanju obveznosti ponovnega sprejema. Komisija se strinja z dogovorom med Evropskim parlamentom in Svetom o reformi vizumskega zakonika, vključno z možnostjo sprejetja </w:t>
      </w:r>
      <w:r>
        <w:rPr>
          <w:rFonts w:ascii="Times New Roman" w:hAnsi="Times New Roman"/>
          <w:noProof/>
          <w:color w:val="000000"/>
          <w:sz w:val="24"/>
        </w:rPr>
        <w:t>omejevalnih vizumskih ukrepov proti tretjim državam, ki ne sodelujejo na področju ponovnega sprejema. Nadaljnji ukrepi za uvedbo finančnega vzvoda bodo bistveni za okrepitev ponovnega sprejema.</w:t>
      </w:r>
    </w:p>
    <w:p w:rsidR="00117FA4" w:rsidRDefault="00117FA4">
      <w:pPr>
        <w:jc w:val="both"/>
        <w:rPr>
          <w:rFonts w:ascii="Times New Roman" w:hAnsi="Times New Roman"/>
          <w:noProof/>
          <w:color w:val="000000"/>
          <w:sz w:val="24"/>
        </w:rPr>
      </w:pPr>
    </w:p>
    <w:tbl>
      <w:tblPr>
        <w:tblStyle w:val="TableGrid"/>
        <w:tblW w:w="0" w:type="auto"/>
        <w:tblLook w:val="04A0" w:firstRow="1" w:lastRow="0" w:firstColumn="1" w:lastColumn="0" w:noHBand="0" w:noVBand="1"/>
      </w:tblPr>
      <w:tblGrid>
        <w:gridCol w:w="9286"/>
      </w:tblGrid>
      <w:tr w:rsidR="00117FA4">
        <w:tc>
          <w:tcPr>
            <w:tcW w:w="9286" w:type="dxa"/>
            <w:shd w:val="clear" w:color="auto" w:fill="1F497D" w:themeFill="text2"/>
          </w:tcPr>
          <w:p w:rsidR="00117FA4" w:rsidRDefault="00A54415">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Naslednji ključni koraki</w:t>
            </w:r>
          </w:p>
        </w:tc>
      </w:tr>
      <w:tr w:rsidR="00117FA4">
        <w:tc>
          <w:tcPr>
            <w:tcW w:w="9286" w:type="dxa"/>
            <w:shd w:val="clear" w:color="auto" w:fill="C6D9F1" w:themeFill="text2" w:themeFillTint="33"/>
          </w:tcPr>
          <w:p w:rsidR="00117FA4" w:rsidRDefault="00A54415">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Institucije EU morajo zagotoviti, d</w:t>
            </w:r>
            <w:r>
              <w:rPr>
                <w:rFonts w:ascii="Times New Roman" w:eastAsiaTheme="minorHAnsi" w:hAnsi="Times New Roman"/>
                <w:noProof/>
                <w:color w:val="000000"/>
                <w:sz w:val="24"/>
              </w:rPr>
              <w:t xml:space="preserve">a bo </w:t>
            </w:r>
            <w:r>
              <w:rPr>
                <w:rFonts w:ascii="Times New Roman" w:eastAsiaTheme="minorHAnsi" w:hAnsi="Times New Roman"/>
                <w:b/>
                <w:i/>
                <w:noProof/>
                <w:color w:val="000000"/>
                <w:sz w:val="24"/>
              </w:rPr>
              <w:t>naslednji večletni finančni okvir</w:t>
            </w:r>
            <w:r>
              <w:rPr>
                <w:rFonts w:ascii="Times New Roman" w:eastAsiaTheme="minorHAnsi" w:hAnsi="Times New Roman"/>
                <w:noProof/>
                <w:color w:val="000000"/>
                <w:sz w:val="24"/>
              </w:rPr>
              <w:t xml:space="preserve"> zagotovil obseg in prožnost, ki sta potrebna za poglobitev sodelovanja s tretjimi partnerskimi državami na področju migracij.</w:t>
            </w:r>
          </w:p>
          <w:p w:rsidR="00117FA4" w:rsidRDefault="00A54415">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Države članice in EU bi morale spremljati nadaljnje ukrepe, sprejete decembra 2018 za </w:t>
            </w:r>
            <w:r>
              <w:rPr>
                <w:rFonts w:ascii="Times New Roman" w:eastAsiaTheme="minorHAnsi" w:hAnsi="Times New Roman"/>
                <w:b/>
                <w:i/>
                <w:noProof/>
                <w:color w:val="000000"/>
                <w:sz w:val="24"/>
              </w:rPr>
              <w:t>boj p</w:t>
            </w:r>
            <w:r>
              <w:rPr>
                <w:rFonts w:ascii="Times New Roman" w:eastAsiaTheme="minorHAnsi" w:hAnsi="Times New Roman"/>
                <w:b/>
                <w:i/>
                <w:noProof/>
                <w:color w:val="000000"/>
                <w:sz w:val="24"/>
              </w:rPr>
              <w:t>roti mrežam za tihotapljenje migrantov</w:t>
            </w:r>
            <w:r>
              <w:rPr>
                <w:rFonts w:ascii="Times New Roman" w:eastAsiaTheme="minorHAnsi" w:hAnsi="Times New Roman"/>
                <w:noProof/>
                <w:color w:val="000000"/>
                <w:sz w:val="24"/>
              </w:rPr>
              <w:t>, vključno z okrepitvijo dela Europolovega Evropskega centra za boj proti tihotapljenju migrantov.</w:t>
            </w:r>
          </w:p>
          <w:p w:rsidR="00117FA4" w:rsidRDefault="00A54415">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Evropski parlament in Svet bi morala zaključiti pogajanja o </w:t>
            </w:r>
            <w:r>
              <w:rPr>
                <w:rFonts w:ascii="Times New Roman" w:eastAsiaTheme="minorHAnsi" w:hAnsi="Times New Roman"/>
                <w:b/>
                <w:i/>
                <w:noProof/>
                <w:color w:val="000000"/>
                <w:sz w:val="24"/>
              </w:rPr>
              <w:t>predlogu Komisije za okrepitev vračanja</w:t>
            </w:r>
            <w:r>
              <w:rPr>
                <w:rFonts w:ascii="Times New Roman" w:eastAsiaTheme="minorHAnsi" w:hAnsi="Times New Roman"/>
                <w:noProof/>
                <w:color w:val="000000"/>
                <w:sz w:val="24"/>
              </w:rPr>
              <w:t xml:space="preserve">. Države članice bi </w:t>
            </w:r>
            <w:r>
              <w:rPr>
                <w:rFonts w:ascii="Times New Roman" w:eastAsiaTheme="minorHAnsi" w:hAnsi="Times New Roman"/>
                <w:noProof/>
                <w:color w:val="000000"/>
                <w:sz w:val="24"/>
              </w:rPr>
              <w:t>morale v največji možni meri povečati učinkovitost vračanja že v obstoječem okviru.</w:t>
            </w:r>
          </w:p>
          <w:p w:rsidR="00117FA4" w:rsidRDefault="00A54415">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Države članice bi morale zagotoviti polno uporabo </w:t>
            </w:r>
            <w:r>
              <w:rPr>
                <w:rFonts w:ascii="Times New Roman" w:eastAsiaTheme="minorHAnsi" w:hAnsi="Times New Roman"/>
                <w:b/>
                <w:i/>
                <w:noProof/>
                <w:color w:val="000000"/>
                <w:sz w:val="24"/>
              </w:rPr>
              <w:t>sporazumov in dogovorov o ponovnem sprejemu</w:t>
            </w:r>
            <w:r>
              <w:rPr>
                <w:rFonts w:ascii="Times New Roman" w:eastAsiaTheme="minorHAnsi" w:hAnsi="Times New Roman"/>
                <w:noProof/>
                <w:color w:val="000000"/>
                <w:sz w:val="24"/>
              </w:rPr>
              <w:t xml:space="preserve">, EU pa bi morala razviti </w:t>
            </w:r>
            <w:r>
              <w:rPr>
                <w:rFonts w:ascii="Times New Roman" w:eastAsiaTheme="minorHAnsi" w:hAnsi="Times New Roman"/>
                <w:b/>
                <w:i/>
                <w:noProof/>
                <w:color w:val="000000"/>
                <w:sz w:val="24"/>
              </w:rPr>
              <w:t>nove sporazume in dogovore o ponovnem sprejemu</w:t>
            </w:r>
            <w:r>
              <w:rPr>
                <w:rFonts w:ascii="Times New Roman" w:eastAsiaTheme="minorHAnsi" w:hAnsi="Times New Roman"/>
                <w:noProof/>
                <w:color w:val="000000"/>
                <w:sz w:val="24"/>
              </w:rPr>
              <w:t xml:space="preserve"> z drug</w:t>
            </w:r>
            <w:r>
              <w:rPr>
                <w:rFonts w:ascii="Times New Roman" w:eastAsiaTheme="minorHAnsi" w:hAnsi="Times New Roman"/>
                <w:noProof/>
                <w:color w:val="000000"/>
                <w:sz w:val="24"/>
              </w:rPr>
              <w:t xml:space="preserve">imi tretjimi državami. </w:t>
            </w:r>
          </w:p>
          <w:p w:rsidR="00117FA4" w:rsidRDefault="00A54415">
            <w:pPr>
              <w:pStyle w:val="ListParagraph"/>
              <w:numPr>
                <w:ilvl w:val="0"/>
                <w:numId w:val="68"/>
              </w:numPr>
              <w:ind w:left="360"/>
              <w:jc w:val="both"/>
              <w:rPr>
                <w:rFonts w:ascii="Times New Roman" w:hAnsi="Times New Roman"/>
                <w:noProof/>
                <w:sz w:val="24"/>
                <w:szCs w:val="24"/>
              </w:rPr>
            </w:pPr>
            <w:r>
              <w:rPr>
                <w:rFonts w:ascii="Times New Roman" w:eastAsiaTheme="minorHAnsi" w:hAnsi="Times New Roman"/>
                <w:noProof/>
                <w:color w:val="000000"/>
                <w:sz w:val="24"/>
              </w:rPr>
              <w:t xml:space="preserve">Države članice in EU bi morale razširiti </w:t>
            </w:r>
            <w:r>
              <w:rPr>
                <w:rFonts w:ascii="Times New Roman" w:eastAsiaTheme="minorHAnsi" w:hAnsi="Times New Roman"/>
                <w:b/>
                <w:i/>
                <w:noProof/>
                <w:color w:val="000000"/>
                <w:sz w:val="24"/>
              </w:rPr>
              <w:t>skupna operativna partnerstva</w:t>
            </w:r>
            <w:r>
              <w:rPr>
                <w:rFonts w:ascii="Times New Roman" w:eastAsiaTheme="minorHAnsi" w:hAnsi="Times New Roman"/>
                <w:noProof/>
                <w:color w:val="000000"/>
                <w:sz w:val="24"/>
              </w:rPr>
              <w:t xml:space="preserve"> s tretjimi državami za podporo dejavnostim, kot so skupne preiskovalne skupine, krepitev zmogljivosti in izmenjava uradnikov za zvezo.</w:t>
            </w:r>
          </w:p>
        </w:tc>
      </w:tr>
    </w:tbl>
    <w:p w:rsidR="00117FA4" w:rsidRDefault="00117FA4">
      <w:pPr>
        <w:jc w:val="both"/>
        <w:rPr>
          <w:rFonts w:ascii="Times New Roman" w:hAnsi="Times New Roman"/>
          <w:noProof/>
          <w:color w:val="000000"/>
          <w:sz w:val="24"/>
          <w:szCs w:val="24"/>
        </w:rPr>
      </w:pPr>
    </w:p>
    <w:p w:rsidR="00117FA4" w:rsidRDefault="00117FA4">
      <w:pPr>
        <w:jc w:val="both"/>
        <w:rPr>
          <w:rFonts w:ascii="Times New Roman" w:hAnsi="Times New Roman"/>
          <w:noProof/>
          <w:color w:val="000000"/>
          <w:sz w:val="24"/>
          <w:szCs w:val="24"/>
        </w:rPr>
      </w:pPr>
    </w:p>
    <w:p w:rsidR="00117FA4" w:rsidRDefault="00A54415">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Upravljanje meja – </w:t>
      </w:r>
      <w:r>
        <w:rPr>
          <w:rFonts w:ascii="Times New Roman" w:hAnsi="Times New Roman"/>
          <w:b/>
          <w:i/>
          <w:noProof/>
          <w:sz w:val="24"/>
        </w:rPr>
        <w:t>reševanje življenj in varovanje zunanjih meja</w:t>
      </w:r>
    </w:p>
    <w:p w:rsidR="00117FA4" w:rsidRDefault="00117FA4">
      <w:pPr>
        <w:jc w:val="both"/>
        <w:rPr>
          <w:rFonts w:ascii="Times New Roman" w:hAnsi="Times New Roman"/>
          <w:b/>
          <w:i/>
          <w:noProof/>
          <w:color w:val="000000"/>
          <w:sz w:val="24"/>
          <w:szCs w:val="24"/>
        </w:rPr>
      </w:pPr>
    </w:p>
    <w:p w:rsidR="00117FA4" w:rsidRDefault="00A54415">
      <w:pPr>
        <w:keepNext/>
        <w:spacing w:after="120"/>
        <w:jc w:val="both"/>
        <w:rPr>
          <w:rFonts w:ascii="Times New Roman" w:hAnsi="Times New Roman"/>
          <w:i/>
          <w:noProof/>
          <w:color w:val="000000"/>
          <w:sz w:val="24"/>
          <w:szCs w:val="24"/>
        </w:rPr>
      </w:pPr>
      <w:r>
        <w:rPr>
          <w:rFonts w:ascii="Times New Roman" w:hAnsi="Times New Roman"/>
          <w:i/>
          <w:noProof/>
          <w:color w:val="000000"/>
          <w:sz w:val="24"/>
        </w:rPr>
        <w:t>Operacije na mejah</w:t>
      </w:r>
    </w:p>
    <w:p w:rsidR="00117FA4" w:rsidRDefault="00A54415">
      <w:pPr>
        <w:jc w:val="both"/>
        <w:rPr>
          <w:rFonts w:ascii="Times New Roman" w:hAnsi="Times New Roman"/>
          <w:i/>
          <w:noProof/>
          <w:color w:val="000000"/>
          <w:sz w:val="24"/>
          <w:szCs w:val="24"/>
        </w:rPr>
      </w:pPr>
      <w:r>
        <w:rPr>
          <w:rFonts w:ascii="Times New Roman" w:hAnsi="Times New Roman"/>
          <w:noProof/>
          <w:color w:val="000000"/>
          <w:sz w:val="24"/>
        </w:rPr>
        <w:t xml:space="preserve">Reševanje življenj ljudi, ki se na morju znajdejo v stiski, je glavni cilj ukrepov EU v zvezi z upravljanjem zunanjih meja EU. </w:t>
      </w:r>
      <w:r>
        <w:rPr>
          <w:rFonts w:ascii="Times New Roman" w:hAnsi="Times New Roman"/>
          <w:noProof/>
          <w:sz w:val="24"/>
        </w:rPr>
        <w:t>Evropska agencija za mejno in obalno stražo usklajuje skupne po</w:t>
      </w:r>
      <w:r>
        <w:rPr>
          <w:rFonts w:ascii="Times New Roman" w:hAnsi="Times New Roman"/>
          <w:noProof/>
          <w:sz w:val="24"/>
        </w:rPr>
        <w:t>morske operacije za zagotovitev učinkovitega nadzora zunanjih meja EU na morju.</w:t>
      </w:r>
      <w:r>
        <w:rPr>
          <w:rFonts w:ascii="Times New Roman" w:hAnsi="Times New Roman"/>
          <w:noProof/>
          <w:color w:val="000000"/>
          <w:sz w:val="24"/>
        </w:rPr>
        <w:t xml:space="preserve"> Vsa sredstva v teh operacijah so predmet mednarodnega prava in se uporabljajo za pomoč plovilom, ki se na morju znajdejo v stiski. Skupne operacije Themis, Poseidon in Indalo t</w:t>
      </w:r>
      <w:r>
        <w:rPr>
          <w:rFonts w:ascii="Times New Roman" w:hAnsi="Times New Roman"/>
          <w:noProof/>
          <w:color w:val="000000"/>
          <w:sz w:val="24"/>
        </w:rPr>
        <w:t xml:space="preserve">er operacija skupne varnostne in obrambne politike Sophia pomembno prispevajo k nadzoru meje ter iskanju in reševanju. </w:t>
      </w:r>
      <w:r>
        <w:rPr>
          <w:rFonts w:ascii="Times New Roman" w:hAnsi="Times New Roman"/>
          <w:noProof/>
          <w:sz w:val="24"/>
        </w:rPr>
        <w:t>Samo s sredstvi, dodeljenimi za pomorske operacije EU, je bilo leta 2018 rešenih skoraj 39 300 ljudi</w:t>
      </w:r>
      <w:r>
        <w:rPr>
          <w:rStyle w:val="FootnoteReference"/>
          <w:rFonts w:ascii="Times New Roman" w:hAnsi="Times New Roman"/>
          <w:noProof/>
          <w:color w:val="000000"/>
          <w:sz w:val="24"/>
        </w:rPr>
        <w:footnoteReference w:id="41"/>
      </w:r>
      <w:r>
        <w:rPr>
          <w:noProof/>
        </w:rPr>
        <w:t>.</w:t>
      </w:r>
      <w:r>
        <w:rPr>
          <w:rFonts w:ascii="Times New Roman" w:hAnsi="Times New Roman"/>
          <w:noProof/>
          <w:color w:val="000000"/>
          <w:sz w:val="24"/>
        </w:rPr>
        <w:t xml:space="preserve"> </w:t>
      </w:r>
    </w:p>
    <w:p w:rsidR="00117FA4" w:rsidRDefault="00117FA4">
      <w:pPr>
        <w:jc w:val="both"/>
        <w:rPr>
          <w:rFonts w:ascii="Times New Roman" w:hAnsi="Times New Roman"/>
          <w:i/>
          <w:noProof/>
          <w:color w:val="000000"/>
          <w:sz w:val="24"/>
          <w:szCs w:val="24"/>
        </w:rPr>
      </w:pPr>
    </w:p>
    <w:p w:rsidR="00117FA4" w:rsidRDefault="00A54415">
      <w:pPr>
        <w:jc w:val="both"/>
        <w:rPr>
          <w:rFonts w:ascii="Times New Roman" w:hAnsi="Times New Roman"/>
          <w:noProof/>
          <w:sz w:val="24"/>
          <w:szCs w:val="24"/>
        </w:rPr>
      </w:pPr>
      <w:r>
        <w:rPr>
          <w:rFonts w:ascii="Times New Roman" w:hAnsi="Times New Roman"/>
          <w:noProof/>
          <w:sz w:val="24"/>
        </w:rPr>
        <w:t>Evropska agencija za mejno in ob</w:t>
      </w:r>
      <w:r>
        <w:rPr>
          <w:rFonts w:ascii="Times New Roman" w:hAnsi="Times New Roman"/>
          <w:noProof/>
          <w:sz w:val="24"/>
        </w:rPr>
        <w:t xml:space="preserve">alno stražo izvaja tudi usklajene </w:t>
      </w:r>
      <w:r>
        <w:rPr>
          <w:rFonts w:ascii="Times New Roman" w:hAnsi="Times New Roman"/>
          <w:noProof/>
          <w:color w:val="000000"/>
          <w:sz w:val="24"/>
        </w:rPr>
        <w:t>operativne dejavnosti na zunanjih kopenskih mejah, ki prispevajo k nadzoru nedovoljenih migracij in boju proti tihotapljenju ter zagotavljajo obveščevalne podatke. Nujno je, da ima Agencija zmogljivosti za odzivanje na nov</w:t>
      </w:r>
      <w:r>
        <w:rPr>
          <w:rFonts w:ascii="Times New Roman" w:hAnsi="Times New Roman"/>
          <w:noProof/>
          <w:color w:val="000000"/>
          <w:sz w:val="24"/>
        </w:rPr>
        <w:t>e trende, kot je povečan pritisk na zahodnosredozemski poti. Vendar se Agencija</w:t>
      </w:r>
      <w:r>
        <w:rPr>
          <w:rFonts w:ascii="Times New Roman" w:hAnsi="Times New Roman"/>
          <w:noProof/>
          <w:sz w:val="24"/>
        </w:rPr>
        <w:t xml:space="preserve"> še vedno redno sooča s pomanjkanjem človeških virov in tehnične opreme, deljena odgovornost med državami članicami in Agencijo pa ne zagotavlja potrebnih virov. Oba dela evrops</w:t>
      </w:r>
      <w:r>
        <w:rPr>
          <w:rFonts w:ascii="Times New Roman" w:hAnsi="Times New Roman"/>
          <w:noProof/>
          <w:sz w:val="24"/>
        </w:rPr>
        <w:t>ke mejne in obalne straže sta medsebojno odvisna in lahko zagotovita celovitost schengenskega območja le, če delujeta enotno.</w:t>
      </w:r>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Pri upravljanju meja je treba izkoristiti vsa razpoložljiva orodja. To pomeni, da se v celoti izkoristi potencial informacijske t</w:t>
      </w:r>
      <w:r>
        <w:rPr>
          <w:rFonts w:ascii="Times New Roman" w:hAnsi="Times New Roman"/>
          <w:noProof/>
          <w:color w:val="000000"/>
          <w:sz w:val="24"/>
        </w:rPr>
        <w:t>ehnologije. Razširitev in nadgradnja sistemov informacijske tehnologije, ki se uporabljajo za upravljanje meja in varnost, sta omogočila novo možnost, in sicer da se ta orodja uporabijo skupaj. Izvajanje prihodnjih uredb o interoperabilnosti informacijskih</w:t>
      </w:r>
      <w:r>
        <w:rPr>
          <w:rFonts w:ascii="Times New Roman" w:hAnsi="Times New Roman"/>
          <w:noProof/>
          <w:color w:val="000000"/>
          <w:sz w:val="24"/>
        </w:rPr>
        <w:t xml:space="preserve"> sistemov EU – z ustreznimi zaščitnimi ukrepi za varstvo podatkov – bo organom omogočilo učinkovitejšo uporabo pravil. </w:t>
      </w:r>
    </w:p>
    <w:p w:rsidR="00117FA4" w:rsidRDefault="00117FA4">
      <w:pPr>
        <w:jc w:val="both"/>
        <w:rPr>
          <w:rFonts w:ascii="Times New Roman" w:hAnsi="Times New Roman"/>
          <w:noProof/>
          <w:sz w:val="24"/>
          <w:szCs w:val="24"/>
        </w:rPr>
      </w:pPr>
    </w:p>
    <w:p w:rsidR="00117FA4" w:rsidRDefault="00A54415">
      <w:pPr>
        <w:pStyle w:val="ListParagraph"/>
        <w:ind w:left="0"/>
        <w:jc w:val="both"/>
        <w:rPr>
          <w:rFonts w:ascii="Times New Roman" w:hAnsi="Times New Roman"/>
          <w:noProof/>
          <w:sz w:val="24"/>
          <w:szCs w:val="24"/>
        </w:rPr>
      </w:pPr>
      <w:r>
        <w:rPr>
          <w:rFonts w:ascii="Times New Roman" w:hAnsi="Times New Roman"/>
          <w:noProof/>
          <w:sz w:val="24"/>
        </w:rPr>
        <w:t>Cilj predloga Komisije iz septembra 2018 o okrepljeni in popolnoma opremljeni evropski mejni in obalni straži je narediti odločilen kor</w:t>
      </w:r>
      <w:r>
        <w:rPr>
          <w:rFonts w:ascii="Times New Roman" w:hAnsi="Times New Roman"/>
          <w:noProof/>
          <w:sz w:val="24"/>
        </w:rPr>
        <w:t>ak v smeri resnično integriranega upravljanja meja. Evropska agencija za mejno in obalno stražo bi novo raven dosegla s stalno enoto z 10 000 operativnimi člani, ki bo izvajala izvršilna pooblastila in ki bo imela svojo opremo, pri čemer bo v celoti spošto</w:t>
      </w:r>
      <w:r>
        <w:rPr>
          <w:rFonts w:ascii="Times New Roman" w:hAnsi="Times New Roman"/>
          <w:noProof/>
          <w:sz w:val="24"/>
        </w:rPr>
        <w:t>vala tako temeljne pravice kot tudi suverenost držav članic nad njihovimi mejami. Razlog za to je, da EU še ni dovolj pripravljena za reševanje kriz na zunanjih mejah, zlasti če bi prišlo do nenadnega množičnega prihoda migrantov brez urejenega statusa. Ta</w:t>
      </w:r>
      <w:r>
        <w:rPr>
          <w:rFonts w:ascii="Times New Roman" w:hAnsi="Times New Roman"/>
          <w:noProof/>
          <w:sz w:val="24"/>
        </w:rPr>
        <w:t>ka pripravljenost je izhodišče za to, ali se šteje, da je zunanja meja dovolj močna, da se obnovi zaupanje državljanov EU v schengensko območje. Pogajanja o tem predlogu so zdaj v fazi trialoga, kar kaže, da so vse institucije zavezane k sprejetju tega pre</w:t>
      </w:r>
      <w:r>
        <w:rPr>
          <w:rFonts w:ascii="Times New Roman" w:hAnsi="Times New Roman"/>
          <w:noProof/>
          <w:sz w:val="24"/>
        </w:rPr>
        <w:t>dloga pred volitvami v Evropski parlament leta 2019.</w:t>
      </w:r>
    </w:p>
    <w:p w:rsidR="00117FA4" w:rsidRDefault="00117FA4">
      <w:pPr>
        <w:pStyle w:val="ListParagraph"/>
        <w:ind w:left="0"/>
        <w:jc w:val="both"/>
        <w:rPr>
          <w:rFonts w:ascii="Times New Roman" w:hAnsi="Times New Roman"/>
          <w:noProof/>
          <w:sz w:val="24"/>
          <w:szCs w:val="24"/>
        </w:rPr>
      </w:pPr>
    </w:p>
    <w:p w:rsidR="00117FA4" w:rsidRDefault="00A54415">
      <w:pPr>
        <w:keepNext/>
        <w:spacing w:after="120"/>
        <w:jc w:val="both"/>
        <w:rPr>
          <w:rFonts w:ascii="Times New Roman" w:hAnsi="Times New Roman"/>
          <w:i/>
          <w:noProof/>
          <w:sz w:val="24"/>
          <w:szCs w:val="24"/>
        </w:rPr>
      </w:pPr>
      <w:r>
        <w:rPr>
          <w:rFonts w:ascii="Times New Roman" w:hAnsi="Times New Roman"/>
          <w:i/>
          <w:noProof/>
          <w:sz w:val="24"/>
        </w:rPr>
        <w:t>Sodelovanje s tretjimi partnerskimi državami</w:t>
      </w:r>
    </w:p>
    <w:p w:rsidR="00117FA4" w:rsidRDefault="00A54415">
      <w:pPr>
        <w:jc w:val="both"/>
        <w:rPr>
          <w:rFonts w:ascii="Times New Roman" w:hAnsi="Times New Roman"/>
          <w:noProof/>
          <w:sz w:val="24"/>
          <w:szCs w:val="24"/>
        </w:rPr>
      </w:pPr>
      <w:r>
        <w:rPr>
          <w:rFonts w:ascii="Times New Roman" w:hAnsi="Times New Roman"/>
          <w:noProof/>
          <w:sz w:val="24"/>
        </w:rPr>
        <w:t xml:space="preserve">Podpora in sodelovanje z državami nečlanicami EU sta bistvena za zaščito zunanjih meja EU. Prvi korak za tesno sodelovanje je, da se skupine iz skupnih </w:t>
      </w:r>
      <w:r>
        <w:rPr>
          <w:rFonts w:ascii="Times New Roman" w:hAnsi="Times New Roman"/>
          <w:noProof/>
          <w:sz w:val="24"/>
        </w:rPr>
        <w:t>operacij razporedijo na obe strani skupnih meja. Komisija je v ta namen s petimi državami Zahodnega Balkana sklenila sporazume o statusu. Ti sporazumi so bili podpisani z Albanijo in bili parafirani s Severno Makedonijo (julija 2018), Srbijo (septembra 201</w:t>
      </w:r>
      <w:r>
        <w:rPr>
          <w:rFonts w:ascii="Times New Roman" w:hAnsi="Times New Roman"/>
          <w:noProof/>
          <w:sz w:val="24"/>
        </w:rPr>
        <w:t>8), Bosno in Hercegovino (januarja 2019) in Črno goro (februarja 2019).</w:t>
      </w:r>
    </w:p>
    <w:p w:rsidR="00117FA4" w:rsidRDefault="00117FA4">
      <w:pPr>
        <w:jc w:val="both"/>
        <w:rPr>
          <w:rFonts w:ascii="Times New Roman" w:hAnsi="Times New Roman"/>
          <w:noProof/>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Poleg tega ima lahko z dejavnim operativnim sodelovanjem tudi strokovno znanje velik vpliv. EU je libijski obalni straži pomagala znatno povečati njene zmogljivosti za reševanje ljudi</w:t>
      </w:r>
      <w:r>
        <w:rPr>
          <w:rFonts w:ascii="Times New Roman" w:hAnsi="Times New Roman"/>
          <w:noProof/>
          <w:color w:val="000000"/>
          <w:sz w:val="24"/>
        </w:rPr>
        <w:t xml:space="preserve"> na morju ter omogočiti, da se trgovcem z ljudmi prepreči pošiljanje ljudi na morje v plovilih, ki niso primerna za plovbo. Okrepiti je treba usposabljanje, tudi na področju človekovih pravic in mednarodnega pomorskega prava. Ker je Libija</w:t>
      </w:r>
      <w:r>
        <w:rPr>
          <w:noProof/>
        </w:rPr>
        <w:t xml:space="preserve"> </w:t>
      </w:r>
      <w:r>
        <w:rPr>
          <w:rFonts w:ascii="Times New Roman" w:hAnsi="Times New Roman"/>
          <w:noProof/>
          <w:sz w:val="24"/>
        </w:rPr>
        <w:t>Mednarodni pomor</w:t>
      </w:r>
      <w:r>
        <w:rPr>
          <w:rFonts w:ascii="Times New Roman" w:hAnsi="Times New Roman"/>
          <w:noProof/>
          <w:sz w:val="24"/>
        </w:rPr>
        <w:t xml:space="preserve">ski organizaciji uradno priglasila območje iskanja in reševanja, je treba njeno zmogljivost zdaj podpreti z vzpostavitvijo pravega centra za usklajevanje reševanja na morju. </w:t>
      </w:r>
      <w:r>
        <w:rPr>
          <w:rFonts w:ascii="Times New Roman" w:hAnsi="Times New Roman"/>
          <w:noProof/>
          <w:color w:val="000000"/>
          <w:sz w:val="24"/>
        </w:rPr>
        <w:t>Podpora EU je bila usmerjena tudi v reševanje življenj na kopenskih poteh: podpora</w:t>
      </w:r>
      <w:r>
        <w:rPr>
          <w:rFonts w:ascii="Times New Roman" w:hAnsi="Times New Roman"/>
          <w:noProof/>
          <w:color w:val="000000"/>
          <w:sz w:val="24"/>
        </w:rPr>
        <w:t xml:space="preserve"> EU in držav članic v Nigru je privedla do velikega zmanjšanja migracijskih tokov, sodelovanje z Mednarodno organizacijo za migracije pa je omogočilo iskanje in reševanje več kot 13 000 migrantov v nigrskem puščavi. </w:t>
      </w:r>
    </w:p>
    <w:p w:rsidR="00117FA4" w:rsidRDefault="00117FA4">
      <w:pPr>
        <w:contextualSpacing/>
        <w:jc w:val="both"/>
        <w:rPr>
          <w:rFonts w:ascii="Times New Roman" w:eastAsia="Calibri" w:hAnsi="Times New Roman"/>
          <w:noProof/>
          <w:sz w:val="24"/>
          <w:szCs w:val="24"/>
        </w:rPr>
      </w:pPr>
    </w:p>
    <w:p w:rsidR="00117FA4" w:rsidRDefault="00A54415">
      <w:pPr>
        <w:contextualSpacing/>
        <w:jc w:val="both"/>
        <w:rPr>
          <w:rFonts w:ascii="Times New Roman" w:hAnsi="Times New Roman"/>
          <w:noProof/>
          <w:sz w:val="24"/>
          <w:szCs w:val="24"/>
        </w:rPr>
      </w:pPr>
      <w:r>
        <w:rPr>
          <w:rFonts w:ascii="Times New Roman" w:hAnsi="Times New Roman"/>
          <w:noProof/>
          <w:sz w:val="24"/>
        </w:rPr>
        <w:t>EU in države članice zagotavljajo znat</w:t>
      </w:r>
      <w:r>
        <w:rPr>
          <w:rFonts w:ascii="Times New Roman" w:hAnsi="Times New Roman"/>
          <w:noProof/>
          <w:sz w:val="24"/>
        </w:rPr>
        <w:t xml:space="preserve">no podporo in krepitev zmogljivosti, s čimer partnerskim državam pomagajo pri upravljanju njihovih meja. Posebna pozornost je bila namenjena regionalnim programom: program za boljše upravljanje migracij v Afriškem rogu je pripomogel k vzpostavitvi skupnih </w:t>
      </w:r>
      <w:r>
        <w:rPr>
          <w:rFonts w:ascii="Times New Roman" w:hAnsi="Times New Roman"/>
          <w:noProof/>
          <w:sz w:val="24"/>
        </w:rPr>
        <w:t xml:space="preserve">čezmejnih patrulj in skupnih mejnih prehodov med partnerskima državama, kot sta Etiopija in Južni Sudan, ter k izmenjavi dobrih praks. </w:t>
      </w:r>
    </w:p>
    <w:p w:rsidR="00117FA4" w:rsidRDefault="00117FA4">
      <w:pPr>
        <w:contextualSpacing/>
        <w:jc w:val="both"/>
        <w:rPr>
          <w:rFonts w:ascii="Times New Roman" w:hAnsi="Times New Roman"/>
          <w:noProof/>
          <w:sz w:val="24"/>
          <w:szCs w:val="24"/>
        </w:rPr>
      </w:pPr>
    </w:p>
    <w:p w:rsidR="00117FA4" w:rsidRDefault="00A54415">
      <w:pPr>
        <w:contextualSpacing/>
        <w:jc w:val="both"/>
        <w:rPr>
          <w:rFonts w:ascii="Times New Roman" w:hAnsi="Times New Roman"/>
          <w:noProof/>
          <w:sz w:val="24"/>
          <w:szCs w:val="24"/>
        </w:rPr>
      </w:pPr>
      <w:r>
        <w:rPr>
          <w:rFonts w:ascii="Times New Roman" w:hAnsi="Times New Roman"/>
          <w:noProof/>
          <w:sz w:val="24"/>
        </w:rPr>
        <w:t xml:space="preserve">To delo je tesno povezano z delom v okviru skupne zunanje in varnostne politike ter misijami skupne varnostne in </w:t>
      </w:r>
      <w:r>
        <w:rPr>
          <w:rFonts w:ascii="Times New Roman" w:hAnsi="Times New Roman"/>
          <w:noProof/>
          <w:sz w:val="24"/>
        </w:rPr>
        <w:t xml:space="preserve">obrambne politike. Misija EU za pomoč na meji podpira Libijo pri razvijanju širšega okvira za upravljanje meja in ključnim ministrstvom zagotavlja strateško svetovanje. Poleg usposabljanja libijske obalne straže mandat operacije Sophia združuje razbijanje </w:t>
      </w:r>
      <w:r>
        <w:rPr>
          <w:rFonts w:ascii="Times New Roman" w:hAnsi="Times New Roman"/>
          <w:noProof/>
          <w:sz w:val="24"/>
        </w:rPr>
        <w:t xml:space="preserve">mrež za tihotapljenje migrantov in trgovine z orožjem z dejavnostmi nadzora (na primer pri tihotapljenju nafte). To je EU omogočilo, da je znatno prispevala k izboljšanju splošne pomorske varnosti in ponovni vzpostavitvi stabilnosti na osrednjesredozemski </w:t>
      </w:r>
      <w:r>
        <w:rPr>
          <w:rFonts w:ascii="Times New Roman" w:hAnsi="Times New Roman"/>
          <w:noProof/>
          <w:sz w:val="24"/>
        </w:rPr>
        <w:t>poti. Decembra 2018 je bil mandat operacije Sophia podaljšan za tri mesece, ker pa rešitve v zvezi z izkrcanjem ni bilo, njeno nadaljevanje ni zagotovljeno.</w:t>
      </w:r>
    </w:p>
    <w:p w:rsidR="00117FA4" w:rsidRDefault="00117FA4">
      <w:pPr>
        <w:jc w:val="both"/>
        <w:rPr>
          <w:noProof/>
        </w:rPr>
      </w:pPr>
    </w:p>
    <w:tbl>
      <w:tblPr>
        <w:tblStyle w:val="TableGrid"/>
        <w:tblW w:w="0" w:type="auto"/>
        <w:tblLook w:val="04A0" w:firstRow="1" w:lastRow="0" w:firstColumn="1" w:lastColumn="0" w:noHBand="0" w:noVBand="1"/>
      </w:tblPr>
      <w:tblGrid>
        <w:gridCol w:w="9286"/>
      </w:tblGrid>
      <w:tr w:rsidR="00117FA4">
        <w:tc>
          <w:tcPr>
            <w:tcW w:w="9286" w:type="dxa"/>
            <w:shd w:val="clear" w:color="auto" w:fill="1F497D" w:themeFill="text2"/>
          </w:tcPr>
          <w:p w:rsidR="00117FA4" w:rsidRDefault="00A54415">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Naslednji ključni koraki</w:t>
            </w:r>
          </w:p>
        </w:tc>
      </w:tr>
      <w:tr w:rsidR="00117FA4">
        <w:tc>
          <w:tcPr>
            <w:tcW w:w="9286" w:type="dxa"/>
            <w:shd w:val="clear" w:color="auto" w:fill="C6D9F1" w:themeFill="text2" w:themeFillTint="33"/>
          </w:tcPr>
          <w:p w:rsidR="00117FA4" w:rsidRDefault="00A54415">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Evropski parlament in Svet bi morala pred volitvami v Evropski parlament</w:t>
            </w:r>
            <w:r>
              <w:rPr>
                <w:rFonts w:ascii="Times New Roman" w:hAnsi="Times New Roman"/>
                <w:noProof/>
                <w:sz w:val="24"/>
              </w:rPr>
              <w:t xml:space="preserve"> sprejeti</w:t>
            </w:r>
            <w:r>
              <w:rPr>
                <w:rFonts w:ascii="Times New Roman" w:hAnsi="Times New Roman"/>
                <w:b/>
                <w:i/>
                <w:noProof/>
                <w:sz w:val="24"/>
              </w:rPr>
              <w:t xml:space="preserve"> revidirani predlog o evropski mejni in obalni straži.</w:t>
            </w:r>
          </w:p>
          <w:p w:rsidR="00117FA4" w:rsidRDefault="00A54415">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Države članice bi morale zagotoviti, da ima Evropska agencija za mejno in obalno stražo vire, potrebne za redno ocenjevanje razmer na terenu in zagotovitev </w:t>
            </w:r>
            <w:r>
              <w:rPr>
                <w:rFonts w:ascii="Times New Roman" w:hAnsi="Times New Roman"/>
                <w:b/>
                <w:i/>
                <w:noProof/>
                <w:sz w:val="24"/>
              </w:rPr>
              <w:t>bistvenih operacij na meji</w:t>
            </w:r>
            <w:r>
              <w:rPr>
                <w:rFonts w:ascii="Times New Roman" w:hAnsi="Times New Roman"/>
                <w:noProof/>
                <w:sz w:val="24"/>
              </w:rPr>
              <w:t>. Okrepiti</w:t>
            </w:r>
            <w:r>
              <w:rPr>
                <w:rFonts w:ascii="Times New Roman" w:hAnsi="Times New Roman"/>
                <w:noProof/>
                <w:sz w:val="24"/>
              </w:rPr>
              <w:t xml:space="preserve"> bi bilo treba prizadevanja agencij EU na zahodnosredozemski poti.</w:t>
            </w:r>
          </w:p>
          <w:p w:rsidR="00117FA4" w:rsidRDefault="00A54415">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Komisija in agencije EU bi morale zagotoviti, da se </w:t>
            </w:r>
            <w:r>
              <w:rPr>
                <w:rFonts w:ascii="Times New Roman" w:hAnsi="Times New Roman"/>
                <w:b/>
                <w:i/>
                <w:noProof/>
                <w:sz w:val="24"/>
              </w:rPr>
              <w:t>interoperabilnost</w:t>
            </w:r>
            <w:r>
              <w:rPr>
                <w:rFonts w:ascii="Times New Roman" w:hAnsi="Times New Roman"/>
                <w:noProof/>
                <w:sz w:val="24"/>
              </w:rPr>
              <w:t xml:space="preserve"> mejnih in varnostnih sistemov hitro razvija in izvaja, pri čemer naj bi prvi elementi postali operativni že leta 2020.</w:t>
            </w:r>
          </w:p>
          <w:p w:rsidR="00117FA4" w:rsidRDefault="00A54415">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Svet bi moral po odobritvi Evropskega parlamenta hitro skleniti </w:t>
            </w:r>
            <w:r>
              <w:rPr>
                <w:rFonts w:ascii="Times New Roman" w:hAnsi="Times New Roman"/>
                <w:b/>
                <w:i/>
                <w:noProof/>
                <w:sz w:val="24"/>
              </w:rPr>
              <w:t>sporazume o statusu, dogovorjene z državami Zahodnega Balkana</w:t>
            </w:r>
            <w:r>
              <w:rPr>
                <w:rFonts w:ascii="Times New Roman" w:hAnsi="Times New Roman"/>
                <w:noProof/>
                <w:sz w:val="24"/>
              </w:rPr>
              <w:t>, in zagotoviti takojšnje izvajanje.</w:t>
            </w:r>
          </w:p>
        </w:tc>
      </w:tr>
    </w:tbl>
    <w:p w:rsidR="00117FA4" w:rsidRDefault="00117FA4">
      <w:pPr>
        <w:jc w:val="both"/>
        <w:rPr>
          <w:noProof/>
        </w:rPr>
      </w:pPr>
    </w:p>
    <w:p w:rsidR="00117FA4" w:rsidRDefault="00117FA4">
      <w:pPr>
        <w:jc w:val="both"/>
        <w:rPr>
          <w:rFonts w:ascii="Times New Roman" w:hAnsi="Times New Roman"/>
          <w:noProof/>
          <w:color w:val="000000"/>
          <w:sz w:val="24"/>
          <w:szCs w:val="24"/>
        </w:rPr>
      </w:pPr>
    </w:p>
    <w:p w:rsidR="00117FA4" w:rsidRDefault="00A54415">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EU, ki zagotavlja zaščito in azil </w:t>
      </w:r>
    </w:p>
    <w:p w:rsidR="00117FA4" w:rsidRDefault="00117FA4">
      <w:pPr>
        <w:pStyle w:val="ListParagraph"/>
        <w:ind w:left="360"/>
        <w:jc w:val="both"/>
        <w:rPr>
          <w:rFonts w:ascii="Times New Roman" w:hAnsi="Times New Roman"/>
          <w:b/>
          <w:noProof/>
          <w:color w:val="000000"/>
          <w:sz w:val="24"/>
          <w:szCs w:val="24"/>
          <w:u w:val="single"/>
        </w:rPr>
      </w:pPr>
    </w:p>
    <w:p w:rsidR="00117FA4" w:rsidRDefault="00A54415">
      <w:pPr>
        <w:keepNext/>
        <w:spacing w:after="120"/>
        <w:jc w:val="both"/>
        <w:rPr>
          <w:rFonts w:ascii="Times New Roman" w:hAnsi="Times New Roman"/>
          <w:i/>
          <w:noProof/>
          <w:color w:val="000000"/>
          <w:sz w:val="24"/>
          <w:szCs w:val="24"/>
        </w:rPr>
      </w:pPr>
      <w:r>
        <w:rPr>
          <w:rFonts w:ascii="Times New Roman" w:hAnsi="Times New Roman"/>
          <w:i/>
          <w:noProof/>
          <w:color w:val="000000"/>
          <w:sz w:val="24"/>
        </w:rPr>
        <w:t>Modernizacija skupnega evropskega azilnega sistema</w:t>
      </w: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Komisija je prepričana, da je EU sposobna reformirati svoj azilni sistem, da bo lahko bolje zaščitila migrante v stiski in jim zagotovila dostojne pogoje, obenem pa vračala osebe, ki nimajo pravice do prebivanja v Evropi. EU mora svojim državljanom pokazat</w:t>
      </w:r>
      <w:r>
        <w:rPr>
          <w:rFonts w:ascii="Times New Roman" w:hAnsi="Times New Roman"/>
          <w:noProof/>
          <w:color w:val="000000"/>
          <w:sz w:val="24"/>
        </w:rPr>
        <w:t xml:space="preserve">i, da je sposobna vzpostaviti azilni sistem, ki je pravičen in ustreza svojemu namenu ter bi v povezavi s strožjimi mejnimi ukrepi v prihodnosti lahko obvladal morebitno povečanje migracijskega pritiska. Dejstvo, da je število nedovoljenih prihodov upadlo </w:t>
      </w:r>
      <w:r>
        <w:rPr>
          <w:rFonts w:ascii="Times New Roman" w:hAnsi="Times New Roman"/>
          <w:noProof/>
          <w:color w:val="000000"/>
          <w:sz w:val="24"/>
        </w:rPr>
        <w:t>na raven pred krizo, ne sme zakriti obstoječih pomanjkljivosti in potrebe po celoviti reformi azilnega sistema.</w:t>
      </w:r>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Obstaja temeljna potreba po vseevropskem pristopu. Ta mora temeljiti na trdnih jamstvih, da bo vsaka država članica obravnavala prošnje za azil</w:t>
      </w:r>
      <w:r>
        <w:rPr>
          <w:rFonts w:ascii="Times New Roman" w:hAnsi="Times New Roman"/>
          <w:noProof/>
          <w:color w:val="000000"/>
          <w:sz w:val="24"/>
        </w:rPr>
        <w:t>, za katere je odgovorna, ter strukturiranem, predvidljivem mehanizmu solidarnosti, da se zagotovi, da nobena država članica ne bo nosila nesorazmernega bremena. Azilni sistem EU je lahko zares učinkovit in lahko vzbuja zaupanje le, če je ta solidarnost si</w:t>
      </w:r>
      <w:r>
        <w:rPr>
          <w:rFonts w:ascii="Times New Roman" w:hAnsi="Times New Roman"/>
          <w:noProof/>
          <w:color w:val="000000"/>
          <w:sz w:val="24"/>
        </w:rPr>
        <w:t xml:space="preserve">stematična in ne priložnostna. To je povezano z jasnimi, preprostimi in skupnimi pravili za obravnavo prošenj za azil, z izboljšanimi biometričnimi dokazi, ki podpirajo izvajanje pravil, ter z zadostno operativno in finančno podporo državam članicam. </w:t>
      </w:r>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Dok</w:t>
      </w:r>
      <w:r>
        <w:rPr>
          <w:rFonts w:ascii="Times New Roman" w:hAnsi="Times New Roman"/>
          <w:noProof/>
          <w:color w:val="000000"/>
          <w:sz w:val="24"/>
        </w:rPr>
        <w:t>ler se bo obravnava prosilcev za azil med državami članicami znatno razlikovala in bo odgovornost držav članic za obravnavanje prošenj za azil mogoče zlahka prenesti z ene države članice na drugo, bo azilni sistem EU še naprej izpostavljen zlorabam, večkra</w:t>
      </w:r>
      <w:r>
        <w:rPr>
          <w:rFonts w:ascii="Times New Roman" w:hAnsi="Times New Roman"/>
          <w:noProof/>
          <w:color w:val="000000"/>
          <w:sz w:val="24"/>
        </w:rPr>
        <w:t>tnim prošnjam za azil in sekundarnim gibanjem. Potrebna so strožja pravila in usklajena merila za dodeljevanje zaščite ter pošteni in enaki pogoji za prosilce za azil in upravičence po vsej EU. Azilni sistem je lahko verodostojen le v primeru hitrega vrača</w:t>
      </w:r>
      <w:r>
        <w:rPr>
          <w:rFonts w:ascii="Times New Roman" w:hAnsi="Times New Roman"/>
          <w:noProof/>
          <w:color w:val="000000"/>
          <w:sz w:val="24"/>
        </w:rPr>
        <w:t>nja tistih prosilcev za azil, katerih prošnje za azil so bile zavrnjene in ki nimajo več pravice ostati v EU. Zato je treba vzpostaviti nemoteno povezavo med azilnim sistemom in učinkovitim sistemom vračanja, pri čemer je treba v celoti spoštovati temeljne</w:t>
      </w:r>
      <w:r>
        <w:rPr>
          <w:rFonts w:ascii="Times New Roman" w:hAnsi="Times New Roman"/>
          <w:noProof/>
          <w:color w:val="000000"/>
          <w:sz w:val="24"/>
        </w:rPr>
        <w:t xml:space="preserve"> pravice.</w:t>
      </w:r>
    </w:p>
    <w:p w:rsidR="00117FA4" w:rsidRDefault="00117FA4">
      <w:pPr>
        <w:jc w:val="both"/>
        <w:rPr>
          <w:rFonts w:ascii="Times New Roman" w:hAnsi="Times New Roman"/>
          <w:noProof/>
          <w:color w:val="000000"/>
          <w:sz w:val="24"/>
          <w:szCs w:val="24"/>
        </w:rPr>
      </w:pPr>
    </w:p>
    <w:p w:rsidR="00117FA4" w:rsidRDefault="00A54415">
      <w:pPr>
        <w:jc w:val="both"/>
        <w:rPr>
          <w:noProof/>
          <w:color w:val="000000"/>
        </w:rPr>
      </w:pPr>
      <w:r>
        <w:rPr>
          <w:rFonts w:ascii="Times New Roman" w:hAnsi="Times New Roman"/>
          <w:noProof/>
          <w:color w:val="000000"/>
          <w:sz w:val="24"/>
        </w:rPr>
        <w:t>Komisija je predložila vse potrebne predloge, da bi bilo to mogoče doseči, in odločno podpira postopni pristop k nadaljnji obravnavi posameznih predlogov. Danes so dosegljivi uravnoteženi politični sporazumi o petih predlogih za reformo azilnega</w:t>
      </w:r>
      <w:r>
        <w:rPr>
          <w:rFonts w:ascii="Times New Roman" w:hAnsi="Times New Roman"/>
          <w:noProof/>
          <w:color w:val="000000"/>
          <w:sz w:val="24"/>
        </w:rPr>
        <w:t xml:space="preserve"> sistema. Evropski parlament in Svet bi morala izkoristiti priložnost, da pravočasno zaključita postopek pred volitvami v Evropski parlament in državljanom pokažeta zmogljivosti EU za doseganje napredka. Kot je Komisija izjavila decembra 2018</w:t>
      </w:r>
      <w:r>
        <w:rPr>
          <w:rStyle w:val="FootnoteReference"/>
          <w:rFonts w:ascii="Times New Roman" w:hAnsi="Times New Roman"/>
          <w:noProof/>
          <w:color w:val="000000"/>
          <w:sz w:val="24"/>
        </w:rPr>
        <w:footnoteReference w:id="42"/>
      </w:r>
      <w:r>
        <w:rPr>
          <w:rFonts w:ascii="Times New Roman" w:hAnsi="Times New Roman"/>
          <w:noProof/>
          <w:color w:val="000000"/>
          <w:sz w:val="24"/>
        </w:rPr>
        <w:t>, vsak od teh</w:t>
      </w:r>
      <w:r>
        <w:rPr>
          <w:rFonts w:ascii="Times New Roman" w:hAnsi="Times New Roman"/>
          <w:noProof/>
          <w:color w:val="000000"/>
          <w:sz w:val="24"/>
        </w:rPr>
        <w:t xml:space="preserve"> predlogov sam zagotavlja znatno korist in ni tehničnih ali pravnih ovir za samostojno sprejetje enega ali več teh predlogov. Uredba o pogojih za azil bi zagotovila pravice beguncev s priznanim statusom in odvračala od sekundarnih gibanj. Direktiva o pogoj</w:t>
      </w:r>
      <w:r>
        <w:rPr>
          <w:rFonts w:ascii="Times New Roman" w:hAnsi="Times New Roman"/>
          <w:noProof/>
          <w:color w:val="000000"/>
          <w:sz w:val="24"/>
        </w:rPr>
        <w:t>ih za sprejem bi tudi obravnavala sekundarna gibanja z zagotavljanjem usklajenih in dostojnih pogojev za prosilce za azil po vsej EU. Uredba o Agenciji za azil bi Agenciji omogočila, da okrepi pomoč državam članicam s hitro in polno podporo. Nova pravila o</w:t>
      </w:r>
      <w:r>
        <w:rPr>
          <w:rFonts w:ascii="Times New Roman" w:hAnsi="Times New Roman"/>
          <w:noProof/>
          <w:color w:val="000000"/>
          <w:sz w:val="24"/>
        </w:rPr>
        <w:t xml:space="preserve"> podatkovni zbirki EURODAC bi državam članicam omogočila sledenje sekundarnim gibanjem in boljšo identifikacijo oseb, ki nimajo pravice do prebivanja v EU. Okvir Unije za preselitev bi zagotovil varne in zakonite poti, zmanjšal nedovoljene tokove in olajša</w:t>
      </w:r>
      <w:r>
        <w:rPr>
          <w:rFonts w:ascii="Times New Roman" w:hAnsi="Times New Roman"/>
          <w:noProof/>
          <w:color w:val="000000"/>
          <w:sz w:val="24"/>
        </w:rPr>
        <w:t>l odnose z našimi zunanjimi partnerji. Komisija bo na poti do teh ciljev še naprej sodelovala z Evropskim parlamentom in Svetom.</w:t>
      </w:r>
      <w:r>
        <w:rPr>
          <w:noProof/>
          <w:color w:val="000000"/>
        </w:rPr>
        <w:t xml:space="preserve"> </w:t>
      </w:r>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Komisija tudi še naprej spremlja uporabo sedanjega azilnega sistema EU v državah članicah EU, vključno s proučevanjem pomanjk</w:t>
      </w:r>
      <w:r>
        <w:rPr>
          <w:rFonts w:ascii="Times New Roman" w:hAnsi="Times New Roman"/>
          <w:noProof/>
          <w:color w:val="000000"/>
          <w:sz w:val="24"/>
        </w:rPr>
        <w:t xml:space="preserve">ljivosti pri izvajanju ali v nacionalni zakonodaji, ki prenaša različne azilne instrumente. </w:t>
      </w:r>
    </w:p>
    <w:p w:rsidR="00117FA4" w:rsidRDefault="00117FA4">
      <w:pPr>
        <w:jc w:val="both"/>
        <w:rPr>
          <w:rFonts w:ascii="Times New Roman" w:hAnsi="Times New Roman"/>
          <w:noProof/>
          <w:color w:val="000000"/>
          <w:sz w:val="24"/>
          <w:szCs w:val="24"/>
        </w:rPr>
      </w:pPr>
    </w:p>
    <w:p w:rsidR="00117FA4" w:rsidRDefault="00A54415">
      <w:pPr>
        <w:keepNext/>
        <w:spacing w:after="120"/>
        <w:jc w:val="both"/>
        <w:rPr>
          <w:rFonts w:ascii="Times New Roman" w:hAnsi="Times New Roman"/>
          <w:i/>
          <w:noProof/>
          <w:color w:val="000000"/>
          <w:sz w:val="24"/>
          <w:szCs w:val="24"/>
        </w:rPr>
      </w:pPr>
      <w:r>
        <w:rPr>
          <w:rFonts w:ascii="Times New Roman" w:hAnsi="Times New Roman"/>
          <w:i/>
          <w:noProof/>
          <w:color w:val="000000"/>
          <w:sz w:val="24"/>
        </w:rPr>
        <w:t>Podpora EU za zaščito v tujini</w:t>
      </w:r>
    </w:p>
    <w:p w:rsidR="00117FA4" w:rsidRDefault="00A54415">
      <w:pPr>
        <w:jc w:val="both"/>
        <w:rPr>
          <w:rFonts w:ascii="Times New Roman" w:hAnsi="Times New Roman"/>
          <w:noProof/>
          <w:color w:val="000000"/>
          <w:sz w:val="24"/>
          <w:szCs w:val="24"/>
        </w:rPr>
      </w:pPr>
      <w:r>
        <w:rPr>
          <w:rFonts w:ascii="Times New Roman" w:hAnsi="Times New Roman"/>
          <w:noProof/>
          <w:sz w:val="24"/>
        </w:rPr>
        <w:t>Zagotavljanje varnih in urejenih poti za preseljevanje osebam, ki najbolj potrebujejo pomoč, odraža vrednote EU in povečuje verodos</w:t>
      </w:r>
      <w:r>
        <w:rPr>
          <w:rFonts w:ascii="Times New Roman" w:hAnsi="Times New Roman"/>
          <w:noProof/>
          <w:sz w:val="24"/>
        </w:rPr>
        <w:t xml:space="preserve">tojnost pri partnerjih iz tretjih držav. </w:t>
      </w:r>
      <w:r>
        <w:rPr>
          <w:rFonts w:ascii="Times New Roman" w:hAnsi="Times New Roman"/>
          <w:noProof/>
          <w:color w:val="000000"/>
          <w:sz w:val="24"/>
        </w:rPr>
        <w:t xml:space="preserve">Preselitev omogoča varno pot v Evropo za osebe, ki so upravičene do mednarodne zaščite. V okviru sedanjega programa EU za preselitev se je 20 držav članic zavezalo, da bodo do oktobra 2019 zagotovile več kot 50 000 </w:t>
      </w:r>
      <w:r>
        <w:rPr>
          <w:rFonts w:ascii="Times New Roman" w:hAnsi="Times New Roman"/>
          <w:noProof/>
          <w:color w:val="000000"/>
          <w:sz w:val="24"/>
        </w:rPr>
        <w:t>mest osebam, ki pomoč najbolj potrebujejo. Več kot 24 000 teh zavez se je že uresničilo in ljudje so dobili zatočišče v EU. Preselitev več kot 2 000 ljudi iz Libije, ki je v teku, je na primer bistvena za zmožnost EU, da zagotovi zaščito ljudem v hudi stis</w:t>
      </w:r>
      <w:r>
        <w:rPr>
          <w:rFonts w:ascii="Times New Roman" w:hAnsi="Times New Roman"/>
          <w:noProof/>
          <w:color w:val="000000"/>
          <w:sz w:val="24"/>
        </w:rPr>
        <w:t xml:space="preserve">ki, pri čemer sodeluje z Agencijo ZN za begunce (UNHCR) in nigrskimi organi. Zdaj morajo države članice ohraniti zagon in zagotoviti, da bodo preostale zaveze izpolnjene pred oktobrskim rokom. </w:t>
      </w:r>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Zaščita beguncev in migrantov zunaj EU je ena ključnih tem po</w:t>
      </w:r>
      <w:r>
        <w:rPr>
          <w:rFonts w:ascii="Times New Roman" w:hAnsi="Times New Roman"/>
          <w:noProof/>
          <w:color w:val="000000"/>
          <w:sz w:val="24"/>
        </w:rPr>
        <w:t xml:space="preserve">litike EU od leta 2015. Milijoni ljudi so bili deležni podpore iz programov za zagotavljanje osnovnih potreb in izboljšanje kakovosti življenja ljudi, ki so bili prisiljeni zbežati pred konflikti v svojih državah. </w:t>
      </w:r>
      <w:r>
        <w:rPr>
          <w:rFonts w:ascii="Times New Roman" w:hAnsi="Times New Roman"/>
          <w:noProof/>
          <w:sz w:val="24"/>
        </w:rPr>
        <w:t>Zlasti zaradi dolgotrajne krize v Siriji o</w:t>
      </w:r>
      <w:r>
        <w:rPr>
          <w:rFonts w:ascii="Times New Roman" w:hAnsi="Times New Roman"/>
          <w:noProof/>
          <w:sz w:val="24"/>
        </w:rPr>
        <w:t xml:space="preserve">gromno humanitarno pomoč potrebuje več kot 13 milijonov ljudi v državi in 5,6 milijona v sosednjih državah. </w:t>
      </w:r>
    </w:p>
    <w:p w:rsidR="00117FA4" w:rsidRDefault="00117FA4">
      <w:pPr>
        <w:jc w:val="both"/>
        <w:rPr>
          <w:rFonts w:ascii="Times New Roman" w:hAnsi="Times New Roman"/>
          <w:noProof/>
          <w:color w:val="000000"/>
          <w:sz w:val="24"/>
          <w:szCs w:val="24"/>
        </w:rPr>
      </w:pPr>
    </w:p>
    <w:p w:rsidR="00117FA4" w:rsidRDefault="00A54415">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Podpora EU v okviru instrumenta za begunce v Turčiji je namenjena obsežni nalogi sprejema skoraj 4 milijonov beguncev v Turčiji. Do konca leta 201</w:t>
      </w:r>
      <w:r>
        <w:rPr>
          <w:rFonts w:ascii="Times New Roman" w:hAnsi="Times New Roman"/>
          <w:noProof/>
          <w:color w:val="000000"/>
          <w:sz w:val="24"/>
        </w:rPr>
        <w:t>8 je humanitarna pomoč dosegla 1,5 milijona najbolj ranljivih beguncev prek mreže socialne varnosti v sili, programa varnostne mreže socialne pomoči, in šolanje omogočila več kot 410 000 mladim</w:t>
      </w:r>
      <w:r>
        <w:rPr>
          <w:rStyle w:val="FootnoteReference"/>
          <w:rFonts w:ascii="Times New Roman" w:hAnsi="Times New Roman"/>
          <w:noProof/>
          <w:sz w:val="24"/>
        </w:rPr>
        <w:footnoteReference w:id="43"/>
      </w:r>
      <w:r>
        <w:rPr>
          <w:rFonts w:ascii="Times New Roman" w:hAnsi="Times New Roman"/>
          <w:noProof/>
          <w:color w:val="000000"/>
          <w:sz w:val="24"/>
        </w:rPr>
        <w:t>.</w:t>
      </w:r>
      <w:r>
        <w:rPr>
          <w:rFonts w:ascii="Times New Roman" w:hAnsi="Times New Roman"/>
          <w:noProof/>
          <w:sz w:val="24"/>
        </w:rPr>
        <w:t xml:space="preserve"> Nadaljnjih 600 000 otrok je bilo deležnih pomoči pri vključevanju v turški šolski sistem. Podpora je omogočila štiri milijone pregledov v okviru osnovnega zdravstvenega varstva in cepljenje za več kot 500 000 sirskih otrok. Prevzete so bile obveznosti v v</w:t>
      </w:r>
      <w:r>
        <w:rPr>
          <w:rFonts w:ascii="Times New Roman" w:hAnsi="Times New Roman"/>
          <w:noProof/>
          <w:sz w:val="24"/>
        </w:rPr>
        <w:t>išini 1,2 milijarde EUR za drugo tranšo v višini 3 milijarde EUR.</w:t>
      </w:r>
    </w:p>
    <w:p w:rsidR="00117FA4" w:rsidRDefault="00A54415">
      <w:pPr>
        <w:pStyle w:val="ListParagraph"/>
        <w:numPr>
          <w:ilvl w:val="0"/>
          <w:numId w:val="64"/>
        </w:numPr>
        <w:spacing w:after="120"/>
        <w:ind w:left="425" w:hanging="357"/>
        <w:contextualSpacing w:val="0"/>
        <w:jc w:val="both"/>
        <w:rPr>
          <w:rFonts w:ascii="Times New Roman" w:hAnsi="Times New Roman"/>
          <w:noProof/>
          <w:sz w:val="24"/>
        </w:rPr>
      </w:pPr>
      <w:r>
        <w:rPr>
          <w:rFonts w:ascii="Times New Roman" w:hAnsi="Times New Roman"/>
          <w:noProof/>
          <w:sz w:val="24"/>
        </w:rPr>
        <w:t xml:space="preserve">EU je leta 2018 na drugi bruseljski konferenci o podpori Siriji in regiji izpolnila svojo zavezo, saj je podpora </w:t>
      </w:r>
      <w:r>
        <w:rPr>
          <w:rStyle w:val="Strong"/>
          <w:b w:val="0"/>
          <w:noProof/>
          <w:sz w:val="24"/>
        </w:rPr>
        <w:t>EU in njenih držav članic</w:t>
      </w:r>
      <w:r>
        <w:rPr>
          <w:rFonts w:ascii="Times New Roman" w:hAnsi="Times New Roman"/>
          <w:noProof/>
          <w:sz w:val="24"/>
        </w:rPr>
        <w:t xml:space="preserve"> od začetka krize skupaj dosegla skoraj </w:t>
      </w:r>
      <w:r>
        <w:rPr>
          <w:rStyle w:val="Strong"/>
          <w:b w:val="0"/>
          <w:noProof/>
          <w:sz w:val="24"/>
        </w:rPr>
        <w:t xml:space="preserve">17 milijard </w:t>
      </w:r>
      <w:r>
        <w:rPr>
          <w:rStyle w:val="Strong"/>
          <w:b w:val="0"/>
          <w:noProof/>
          <w:sz w:val="24"/>
        </w:rPr>
        <w:t>EUR</w:t>
      </w:r>
      <w:r>
        <w:rPr>
          <w:rFonts w:ascii="Times New Roman" w:hAnsi="Times New Roman"/>
          <w:noProof/>
          <w:sz w:val="24"/>
        </w:rPr>
        <w:t>, s čimer je EU postala vodilna donatorka. EU je tako kot v Turčiji zagotovila znatno humanitarno pomoč notranje razseljenim osebam v Siriji ter</w:t>
      </w:r>
      <w:r>
        <w:rPr>
          <w:rStyle w:val="Strong"/>
          <w:b w:val="0"/>
          <w:noProof/>
          <w:sz w:val="24"/>
        </w:rPr>
        <w:t xml:space="preserve"> beguncem in gostiteljskim skupnostim v Jordaniji in Libanonu ter pomoč v Iraku in Egiptu.</w:t>
      </w:r>
      <w:r>
        <w:rPr>
          <w:rFonts w:ascii="Times New Roman" w:hAnsi="Times New Roman"/>
          <w:noProof/>
          <w:sz w:val="24"/>
        </w:rPr>
        <w:t xml:space="preserve"> Regionalni skrbniš</w:t>
      </w:r>
      <w:r>
        <w:rPr>
          <w:rFonts w:ascii="Times New Roman" w:hAnsi="Times New Roman"/>
          <w:noProof/>
          <w:sz w:val="24"/>
        </w:rPr>
        <w:t>ki sklad EU za odziv na krizo v Siriji je leta 2018 skupaj podprl približno 2 milijona sirskih beguncev in gostiteljskih skupnosti</w:t>
      </w:r>
      <w:r>
        <w:rPr>
          <w:rStyle w:val="FootnoteReference"/>
          <w:rFonts w:ascii="Times New Roman" w:hAnsi="Times New Roman"/>
          <w:noProof/>
          <w:color w:val="000000"/>
          <w:sz w:val="24"/>
        </w:rPr>
        <w:footnoteReference w:id="44"/>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Bližajoča se tretja bruseljska konferenca bo glavni donatorski dogodek za odziv na krizo v Siriji v letu 2019, EU pa namera</w:t>
      </w:r>
      <w:r>
        <w:rPr>
          <w:rFonts w:ascii="Times New Roman" w:hAnsi="Times New Roman"/>
          <w:noProof/>
          <w:sz w:val="24"/>
        </w:rPr>
        <w:t>va ohraniti zavezo EU iz preteklih let.</w:t>
      </w:r>
    </w:p>
    <w:p w:rsidR="00117FA4" w:rsidRDefault="00A54415">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Regionalni programi za razvoj in zaščito, ki se osredotočajo na Severno Afriko in Afriški rog, podpirajo tretje države, ki gostijo veliko število beguncev, da bi se odzvale na njihove potrebe po zaščiti in razvoju</w:t>
      </w:r>
      <w:r>
        <w:rPr>
          <w:rStyle w:val="FootnoteReference"/>
          <w:rFonts w:ascii="Times New Roman" w:hAnsi="Times New Roman"/>
          <w:noProof/>
          <w:color w:val="000000"/>
          <w:sz w:val="24"/>
        </w:rPr>
        <w:footnoteReference w:id="45"/>
      </w:r>
      <w:r>
        <w:rPr>
          <w:rFonts w:ascii="Times New Roman" w:hAnsi="Times New Roman"/>
          <w:noProof/>
          <w:color w:val="000000"/>
          <w:sz w:val="24"/>
        </w:rPr>
        <w:t>.</w:t>
      </w:r>
    </w:p>
    <w:p w:rsidR="00117FA4" w:rsidRDefault="00A54415">
      <w:pPr>
        <w:pStyle w:val="ListParagraph"/>
        <w:numPr>
          <w:ilvl w:val="0"/>
          <w:numId w:val="64"/>
        </w:numPr>
        <w:spacing w:after="120"/>
        <w:ind w:left="426"/>
        <w:jc w:val="both"/>
        <w:rPr>
          <w:rFonts w:ascii="Times New Roman" w:hAnsi="Times New Roman"/>
          <w:noProof/>
          <w:color w:val="000000"/>
          <w:sz w:val="24"/>
          <w:szCs w:val="24"/>
        </w:rPr>
      </w:pPr>
      <w:r>
        <w:rPr>
          <w:rFonts w:ascii="Times New Roman" w:hAnsi="Times New Roman"/>
          <w:noProof/>
          <w:color w:val="000000"/>
          <w:sz w:val="24"/>
        </w:rPr>
        <w:t>Zaščita je tudi osrednja tema skrbniškega sklada EU za Afriko, ki dopolnjuje humanitarno pomoč in zagotavlja osnovne potrebe prisilno razseljenih. Samo v regiji Afriškega roga je več kot 4 milijone beguncev in po ocenah 10 milijonov notranje razseljenih os</w:t>
      </w:r>
      <w:r>
        <w:rPr>
          <w:rFonts w:ascii="Times New Roman" w:hAnsi="Times New Roman"/>
          <w:noProof/>
          <w:color w:val="000000"/>
          <w:sz w:val="24"/>
        </w:rPr>
        <w:t>eb, skrbniški sklad pa pomaga beguncem k samozadostnosti in obenem podpira gostiteljske skupnosti. Posebna pozornost v okviru financiranja skrbniškega sklada je namenjena spodbujanju nujne stabilizacije v Somaliji in Sudanu.</w:t>
      </w: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Prisilno razseljevanje je globa</w:t>
      </w:r>
      <w:r>
        <w:rPr>
          <w:rFonts w:ascii="Times New Roman" w:hAnsi="Times New Roman"/>
          <w:noProof/>
          <w:color w:val="000000"/>
          <w:sz w:val="24"/>
        </w:rPr>
        <w:t>lni pojav, ki potrebuje globalne rešitve. Ključnega pomena so azilni sistemi, ki delujejo, tako v partnerskih tretjih državah kot tudi v EU. EU bi morala spodbude iz globalnega dogovora o beguncih uporabljati kot platformo za nadaljnje izvajanje obstoječih</w:t>
      </w:r>
      <w:r>
        <w:rPr>
          <w:rFonts w:ascii="Times New Roman" w:hAnsi="Times New Roman"/>
          <w:noProof/>
          <w:color w:val="000000"/>
          <w:sz w:val="24"/>
        </w:rPr>
        <w:t xml:space="preserve"> okvirov EU za pomoč tretjim državam pri zagotavljanju podpore beguncem zunaj EU.</w:t>
      </w:r>
    </w:p>
    <w:p w:rsidR="00117FA4" w:rsidRDefault="00117FA4">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117FA4">
        <w:tc>
          <w:tcPr>
            <w:tcW w:w="9286" w:type="dxa"/>
            <w:shd w:val="clear" w:color="auto" w:fill="1F497D" w:themeFill="text2"/>
          </w:tcPr>
          <w:p w:rsidR="00117FA4" w:rsidRDefault="00A54415">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Naslednji ključni koraki</w:t>
            </w:r>
          </w:p>
        </w:tc>
      </w:tr>
      <w:tr w:rsidR="00117FA4">
        <w:tc>
          <w:tcPr>
            <w:tcW w:w="9286" w:type="dxa"/>
            <w:shd w:val="clear" w:color="auto" w:fill="C6D9F1" w:themeFill="text2" w:themeFillTint="33"/>
          </w:tcPr>
          <w:p w:rsidR="00117FA4" w:rsidRDefault="00A54415">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Evropski parlament in Svet bi morala sprejeti </w:t>
            </w:r>
            <w:r>
              <w:rPr>
                <w:rFonts w:ascii="Times New Roman" w:eastAsiaTheme="minorHAnsi" w:hAnsi="Times New Roman"/>
                <w:b/>
                <w:i/>
                <w:noProof/>
                <w:color w:val="000000"/>
                <w:sz w:val="24"/>
              </w:rPr>
              <w:t>novi zakonodajni okvir</w:t>
            </w:r>
            <w:r>
              <w:rPr>
                <w:rFonts w:ascii="Times New Roman" w:eastAsiaTheme="minorHAnsi" w:hAnsi="Times New Roman"/>
                <w:noProof/>
                <w:color w:val="000000"/>
                <w:sz w:val="24"/>
              </w:rPr>
              <w:t xml:space="preserve">, ki je potreben za vzpostavitev skupnega evropskega azilnega sistema, ki bo </w:t>
            </w:r>
            <w:r>
              <w:rPr>
                <w:rFonts w:ascii="Times New Roman" w:eastAsiaTheme="minorHAnsi" w:hAnsi="Times New Roman"/>
                <w:noProof/>
                <w:color w:val="000000"/>
                <w:sz w:val="24"/>
              </w:rPr>
              <w:t>kos izzivom prihodnosti. Predloge, ki so v zaključni fazi, bi bilo treba sprejeti pred volitvami v Evropski parlament.</w:t>
            </w:r>
          </w:p>
          <w:p w:rsidR="00117FA4" w:rsidRDefault="00A54415">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Države članice bi morale zagotoviti, da bo 50 000 zavez za </w:t>
            </w:r>
            <w:r>
              <w:rPr>
                <w:rFonts w:ascii="Times New Roman" w:eastAsiaTheme="minorHAnsi" w:hAnsi="Times New Roman"/>
                <w:b/>
                <w:i/>
                <w:noProof/>
                <w:color w:val="000000"/>
                <w:sz w:val="24"/>
              </w:rPr>
              <w:t>preselitev</w:t>
            </w:r>
            <w:r>
              <w:rPr>
                <w:rFonts w:ascii="Times New Roman" w:eastAsiaTheme="minorHAnsi" w:hAnsi="Times New Roman"/>
                <w:noProof/>
                <w:color w:val="000000"/>
                <w:sz w:val="24"/>
              </w:rPr>
              <w:t xml:space="preserve"> izpolnjenih do roka, ki je oktobra 2019.</w:t>
            </w:r>
          </w:p>
          <w:p w:rsidR="00117FA4" w:rsidRDefault="00A54415">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EU in države članice bi mo</w:t>
            </w:r>
            <w:r>
              <w:rPr>
                <w:rFonts w:ascii="Times New Roman" w:eastAsiaTheme="minorHAnsi" w:hAnsi="Times New Roman"/>
                <w:noProof/>
                <w:color w:val="000000"/>
                <w:sz w:val="24"/>
              </w:rPr>
              <w:t xml:space="preserve">rale ohraniti podporo, ki je bistvena za </w:t>
            </w:r>
            <w:r>
              <w:rPr>
                <w:rFonts w:ascii="Times New Roman" w:eastAsiaTheme="minorHAnsi" w:hAnsi="Times New Roman"/>
                <w:b/>
                <w:i/>
                <w:noProof/>
                <w:color w:val="000000"/>
                <w:sz w:val="24"/>
              </w:rPr>
              <w:t>zaščito beguncev in migrantov v tretjih državah</w:t>
            </w:r>
            <w:r>
              <w:rPr>
                <w:rFonts w:ascii="Times New Roman" w:eastAsiaTheme="minorHAnsi" w:hAnsi="Times New Roman"/>
                <w:noProof/>
                <w:color w:val="000000"/>
                <w:sz w:val="24"/>
              </w:rPr>
              <w:t>, vključno s predhodnimi zavezami na tretji bruseljski konferenci o Siriji.</w:t>
            </w:r>
          </w:p>
        </w:tc>
      </w:tr>
    </w:tbl>
    <w:p w:rsidR="00117FA4" w:rsidRDefault="00117FA4">
      <w:pPr>
        <w:jc w:val="both"/>
        <w:rPr>
          <w:rFonts w:ascii="Times New Roman" w:hAnsi="Times New Roman"/>
          <w:noProof/>
          <w:color w:val="000000"/>
          <w:sz w:val="24"/>
          <w:szCs w:val="24"/>
        </w:rPr>
      </w:pPr>
    </w:p>
    <w:p w:rsidR="00117FA4" w:rsidRDefault="00117FA4">
      <w:pPr>
        <w:jc w:val="both"/>
        <w:rPr>
          <w:rFonts w:ascii="Times New Roman" w:hAnsi="Times New Roman"/>
          <w:noProof/>
          <w:color w:val="000000"/>
          <w:sz w:val="24"/>
          <w:szCs w:val="24"/>
        </w:rPr>
      </w:pPr>
    </w:p>
    <w:p w:rsidR="00117FA4" w:rsidRDefault="00A54415">
      <w:pPr>
        <w:pStyle w:val="ListParagraph"/>
        <w:numPr>
          <w:ilvl w:val="0"/>
          <w:numId w:val="3"/>
        </w:numPr>
        <w:rPr>
          <w:rFonts w:ascii="Times New Roman" w:hAnsi="Times New Roman"/>
          <w:b/>
          <w:i/>
          <w:noProof/>
          <w:sz w:val="24"/>
          <w:szCs w:val="24"/>
        </w:rPr>
      </w:pPr>
      <w:r>
        <w:rPr>
          <w:rFonts w:ascii="Times New Roman" w:hAnsi="Times New Roman"/>
          <w:b/>
          <w:i/>
          <w:noProof/>
          <w:sz w:val="24"/>
        </w:rPr>
        <w:t xml:space="preserve">Zakonite migracije in vključevanje </w:t>
      </w:r>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Zakonite poti so bistveni element upravljanja migrac</w:t>
      </w:r>
      <w:r>
        <w:rPr>
          <w:rFonts w:ascii="Times New Roman" w:hAnsi="Times New Roman"/>
          <w:noProof/>
          <w:color w:val="000000"/>
          <w:sz w:val="24"/>
        </w:rPr>
        <w:t>ij v EU, saj odvračajo od uporabe nezakonitih poti, in so dokaz zavezanosti EU resničnim dolgoročnim partnerstvom. Prav tako so bistvenega pomena za to, da bo EU lahko izpolnila sedanje in prihodnje potrebe po znanjih in spretnostih. Zakonite migracije pot</w:t>
      </w:r>
      <w:r>
        <w:rPr>
          <w:rFonts w:ascii="Times New Roman" w:hAnsi="Times New Roman"/>
          <w:noProof/>
          <w:color w:val="000000"/>
          <w:sz w:val="24"/>
        </w:rPr>
        <w:t>ekajo v dobro razvitem pravnem okviru na ravni EU o pogojih za sprejem, postopkih in pravicah državljanov tretjih držav, države članice pa so tiste, ki odločajo o številu državljanov tretjih držav, ki jih bodo sprejele iz gospodarskih razlogov. Vendar pa j</w:t>
      </w:r>
      <w:r>
        <w:rPr>
          <w:rFonts w:ascii="Times New Roman" w:hAnsi="Times New Roman"/>
          <w:noProof/>
          <w:color w:val="000000"/>
          <w:sz w:val="24"/>
        </w:rPr>
        <w:t>e najpomembnejši predlog na tem področju, ki zadeva revizijo direktive o modri karti, trenutno na mrtvi točki. Komisija bo v kratkem v nadaljnje posvetovanje predložila rezultate celovite ocene („preverjanje ustreznosti“) regulativnega okvira za zakonite m</w:t>
      </w:r>
      <w:r>
        <w:rPr>
          <w:rFonts w:ascii="Times New Roman" w:hAnsi="Times New Roman"/>
          <w:noProof/>
          <w:color w:val="000000"/>
          <w:sz w:val="24"/>
        </w:rPr>
        <w:t xml:space="preserve">igracije. </w:t>
      </w:r>
      <w:bookmarkStart w:id="1" w:name="_GoBack"/>
      <w:bookmarkEnd w:id="1"/>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Medtem poteka ali je v pripravi več pilotnih projektov na področju delovnih migracij. So pomemben element, ki utira pot novemu pristopu k vprašanju zakonitih migracij. Takšni pilotni projekti lahko preskusijo in vzpostavijo nove strukture in pr</w:t>
      </w:r>
      <w:r>
        <w:rPr>
          <w:rFonts w:ascii="Times New Roman" w:hAnsi="Times New Roman"/>
          <w:noProof/>
          <w:color w:val="000000"/>
          <w:sz w:val="24"/>
        </w:rPr>
        <w:t>istope za učinkovitejše upravljanje zakonitih migracij s ključnimi partnerskimi državami. Projekti, ki vključujejo Belgijo in Litvo, Maroko in Nigerijo, združujejo obravnavo pomanjkanja znanj in spretnosti v sektorju informacijske tehnologije z možnostjo r</w:t>
      </w:r>
      <w:r>
        <w:rPr>
          <w:rFonts w:ascii="Times New Roman" w:hAnsi="Times New Roman"/>
          <w:noProof/>
          <w:color w:val="000000"/>
          <w:sz w:val="24"/>
        </w:rPr>
        <w:t>eintegracije ob koncu projekta. Ocenjujejo se nadaljnji projektni predlogi Španije in Francije, ki sodelujeta s severnoafriškimi državami. Ti posebni projekti so dodatek k regionalnemu programu o zakonitih migracijah, v okviru katerega je Nemčija vključena</w:t>
      </w:r>
      <w:r>
        <w:rPr>
          <w:rFonts w:ascii="Times New Roman" w:hAnsi="Times New Roman"/>
          <w:noProof/>
          <w:color w:val="000000"/>
          <w:sz w:val="24"/>
        </w:rPr>
        <w:t xml:space="preserve"> v programe mobilnosti z izbranimi državami severne Afrike in ki je bil sprejet decembra 2018.</w:t>
      </w:r>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 xml:space="preserve">Vključevanje je ključni korak v procesu migracij, ki bo zagotovil uporabo in razvoj znanj, spretnosti in kompetenc oseb, ki imajo pravico do prebivanja, v </w:t>
      </w:r>
      <w:r>
        <w:rPr>
          <w:rFonts w:ascii="Times New Roman" w:hAnsi="Times New Roman"/>
          <w:noProof/>
          <w:color w:val="000000"/>
          <w:sz w:val="24"/>
        </w:rPr>
        <w:t>korist vseh ter nastanek vključujočih in povezanih družb. Uspešno vključevanje državljanov tretjih držav, ki zakonito prebivajo v EU, je zato ključnega pomena za uspeh migracij tako z gospodarskega kot s socialnega vidika, glede na vrzel v rezultatih med d</w:t>
      </w:r>
      <w:r>
        <w:rPr>
          <w:rFonts w:ascii="Times New Roman" w:hAnsi="Times New Roman"/>
          <w:noProof/>
          <w:color w:val="000000"/>
          <w:sz w:val="24"/>
        </w:rPr>
        <w:t>ržavljani tretjih držav in državljani EU na področju zaposlovanja, revščine in dostopa do ključnih storitev, kot sta izobraževanje in zdravstveno varstvo. Podpora vključevanju državljanov tretjih držav, ki zakonito prebivajo v EU, in oseb z migrantskim oza</w:t>
      </w:r>
      <w:r>
        <w:rPr>
          <w:rFonts w:ascii="Times New Roman" w:hAnsi="Times New Roman"/>
          <w:noProof/>
          <w:color w:val="000000"/>
          <w:sz w:val="24"/>
        </w:rPr>
        <w:t>djem je osrednja točka predlaganega večletnega finančnega okvira za obdobje 2021–2027</w:t>
      </w:r>
      <w:r>
        <w:rPr>
          <w:rStyle w:val="FootnoteReference"/>
          <w:rFonts w:ascii="Times New Roman" w:hAnsi="Times New Roman"/>
          <w:noProof/>
          <w:sz w:val="24"/>
        </w:rPr>
        <w:footnoteReference w:id="46"/>
      </w:r>
      <w:r>
        <w:rPr>
          <w:rFonts w:ascii="Times New Roman" w:hAnsi="Times New Roman"/>
          <w:noProof/>
          <w:color w:val="000000"/>
          <w:sz w:val="24"/>
        </w:rPr>
        <w:t>.</w:t>
      </w:r>
      <w:r>
        <w:rPr>
          <w:rFonts w:ascii="Times New Roman" w:hAnsi="Times New Roman"/>
          <w:noProof/>
          <w:sz w:val="24"/>
        </w:rPr>
        <w:t xml:space="preserve"> Ukrepi, ki so splošno osredotočeni na zgodnje faze vključevanja, bi vsebovali osnovno jezikovno usposabljanje, državljansko vzgojo in svetovalne centre po načelu „vse n</w:t>
      </w:r>
      <w:r>
        <w:rPr>
          <w:rFonts w:ascii="Times New Roman" w:hAnsi="Times New Roman"/>
          <w:noProof/>
          <w:sz w:val="24"/>
        </w:rPr>
        <w:t>a enem mestu“</w:t>
      </w:r>
      <w:r>
        <w:rPr>
          <w:rStyle w:val="FootnoteReference"/>
          <w:rFonts w:ascii="Times New Roman" w:hAnsi="Times New Roman"/>
          <w:noProof/>
          <w:sz w:val="24"/>
        </w:rPr>
        <w:footnoteReference w:id="47"/>
      </w:r>
      <w:r>
        <w:rPr>
          <w:rFonts w:ascii="Times New Roman" w:hAnsi="Times New Roman"/>
          <w:noProof/>
          <w:sz w:val="24"/>
        </w:rPr>
        <w:t>. Druge vrste ukrepov bi zajemale bolj sistematično vključevanje na trg dela</w:t>
      </w:r>
      <w:r>
        <w:rPr>
          <w:rStyle w:val="FootnoteReference"/>
          <w:rFonts w:ascii="Times New Roman" w:hAnsi="Times New Roman"/>
          <w:noProof/>
          <w:sz w:val="24"/>
        </w:rPr>
        <w:footnoteReference w:id="48"/>
      </w:r>
      <w:r>
        <w:rPr>
          <w:rFonts w:ascii="Times New Roman" w:hAnsi="Times New Roman"/>
          <w:noProof/>
          <w:sz w:val="24"/>
        </w:rPr>
        <w:t xml:space="preserve"> ter socialno vključevanje državljanov tretjih držav in oseb z migrantskim ozadjem</w:t>
      </w:r>
      <w:r>
        <w:rPr>
          <w:rStyle w:val="FootnoteReference"/>
          <w:rFonts w:ascii="Times New Roman" w:hAnsi="Times New Roman"/>
          <w:noProof/>
          <w:sz w:val="24"/>
        </w:rPr>
        <w:footnoteReference w:id="49"/>
      </w:r>
      <w:r>
        <w:rPr>
          <w:rFonts w:ascii="Times New Roman" w:hAnsi="Times New Roman"/>
          <w:noProof/>
          <w:sz w:val="24"/>
        </w:rPr>
        <w:t>.</w:t>
      </w:r>
    </w:p>
    <w:p w:rsidR="00117FA4" w:rsidRDefault="00117FA4">
      <w:pPr>
        <w:jc w:val="both"/>
        <w:rPr>
          <w:rFonts w:ascii="Times New Roman" w:hAnsi="Times New Roman"/>
          <w:noProof/>
          <w:color w:val="000000"/>
          <w:sz w:val="24"/>
          <w:szCs w:val="24"/>
        </w:rPr>
      </w:pPr>
    </w:p>
    <w:p w:rsidR="00117FA4" w:rsidRDefault="00A54415">
      <w:pPr>
        <w:jc w:val="both"/>
        <w:rPr>
          <w:rFonts w:ascii="Times New Roman" w:hAnsi="Times New Roman"/>
          <w:noProof/>
          <w:color w:val="000000"/>
          <w:sz w:val="24"/>
          <w:szCs w:val="24"/>
        </w:rPr>
      </w:pPr>
      <w:r>
        <w:rPr>
          <w:rFonts w:ascii="Times New Roman" w:hAnsi="Times New Roman"/>
          <w:noProof/>
          <w:color w:val="000000"/>
          <w:sz w:val="24"/>
        </w:rPr>
        <w:t xml:space="preserve">Še en pomemben vidik je preprečevanje in odprava izkoriščanja delovne sile, ki </w:t>
      </w:r>
      <w:r>
        <w:rPr>
          <w:rFonts w:ascii="Times New Roman" w:hAnsi="Times New Roman"/>
          <w:noProof/>
          <w:color w:val="000000"/>
          <w:sz w:val="24"/>
        </w:rPr>
        <w:t xml:space="preserve">tudi deluje kot dejavnik privlačevanja za nedovoljene migracije. Zakonodaja EU prepoveduje zaposlovanje nezakonito prebivajočih državljanov tretjih držav, vključno s tistimi, ki delajo v izkoriščevalskih delovnih pogojih, in zahteva minimalne standarde za </w:t>
      </w:r>
      <w:r>
        <w:rPr>
          <w:rFonts w:ascii="Times New Roman" w:hAnsi="Times New Roman"/>
          <w:noProof/>
          <w:color w:val="000000"/>
          <w:sz w:val="24"/>
        </w:rPr>
        <w:t>preprečevanje, odkrivanje in sankcioniranje kršitev.</w:t>
      </w:r>
    </w:p>
    <w:p w:rsidR="00117FA4" w:rsidRDefault="00117FA4">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117FA4">
        <w:tc>
          <w:tcPr>
            <w:tcW w:w="9286" w:type="dxa"/>
            <w:shd w:val="clear" w:color="auto" w:fill="1F497D" w:themeFill="text2"/>
          </w:tcPr>
          <w:p w:rsidR="00117FA4" w:rsidRDefault="00A54415">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Naslednji ključni koraki</w:t>
            </w:r>
          </w:p>
        </w:tc>
      </w:tr>
      <w:tr w:rsidR="00117FA4">
        <w:tc>
          <w:tcPr>
            <w:tcW w:w="9286" w:type="dxa"/>
            <w:shd w:val="clear" w:color="auto" w:fill="C6D9F1" w:themeFill="text2" w:themeFillTint="33"/>
          </w:tcPr>
          <w:p w:rsidR="00117FA4" w:rsidRDefault="00A54415">
            <w:pPr>
              <w:numPr>
                <w:ilvl w:val="0"/>
                <w:numId w:val="68"/>
              </w:numPr>
              <w:ind w:left="360"/>
              <w:contextualSpacing/>
              <w:jc w:val="both"/>
              <w:rPr>
                <w:rFonts w:ascii="Times New Roman" w:hAnsi="Times New Roman"/>
                <w:noProof/>
                <w:sz w:val="24"/>
                <w:szCs w:val="24"/>
              </w:rPr>
            </w:pPr>
            <w:r>
              <w:rPr>
                <w:rFonts w:ascii="Times New Roman" w:hAnsi="Times New Roman"/>
                <w:noProof/>
                <w:sz w:val="24"/>
              </w:rPr>
              <w:t>Komisija bo zaključila celovito oceno („</w:t>
            </w:r>
            <w:r>
              <w:rPr>
                <w:rFonts w:ascii="Times New Roman" w:hAnsi="Times New Roman"/>
                <w:b/>
                <w:i/>
                <w:noProof/>
                <w:sz w:val="24"/>
              </w:rPr>
              <w:t>preverjanje ustreznosti</w:t>
            </w:r>
            <w:r>
              <w:rPr>
                <w:rFonts w:ascii="Times New Roman" w:hAnsi="Times New Roman"/>
                <w:noProof/>
                <w:sz w:val="24"/>
              </w:rPr>
              <w:t xml:space="preserve">“) obstoječega regulativnega okvira za zakonite migracije in začela posvetovanja z zainteresiranimi stranmi o </w:t>
            </w:r>
            <w:r>
              <w:rPr>
                <w:rFonts w:ascii="Times New Roman" w:hAnsi="Times New Roman"/>
                <w:noProof/>
                <w:sz w:val="24"/>
              </w:rPr>
              <w:t>rezultatih.</w:t>
            </w:r>
          </w:p>
          <w:p w:rsidR="00117FA4" w:rsidRDefault="00A54415">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Države članice, ki prejemajo podporo EU, bi morale okrepiti </w:t>
            </w:r>
            <w:r>
              <w:rPr>
                <w:rFonts w:ascii="Times New Roman" w:hAnsi="Times New Roman"/>
                <w:b/>
                <w:i/>
                <w:noProof/>
                <w:sz w:val="24"/>
              </w:rPr>
              <w:t>pilotne projekte za zakonite migracije</w:t>
            </w:r>
            <w:r>
              <w:rPr>
                <w:rFonts w:ascii="Times New Roman" w:hAnsi="Times New Roman"/>
                <w:noProof/>
                <w:sz w:val="24"/>
              </w:rPr>
              <w:t xml:space="preserve"> s povečano podporo za nove projekte in ustvarjanjem sinergij med obstoječimi projekti držav članic. </w:t>
            </w:r>
          </w:p>
          <w:p w:rsidR="00117FA4" w:rsidRDefault="00A54415">
            <w:pPr>
              <w:numPr>
                <w:ilvl w:val="0"/>
                <w:numId w:val="68"/>
              </w:numPr>
              <w:ind w:left="360"/>
              <w:contextualSpacing/>
              <w:jc w:val="both"/>
              <w:rPr>
                <w:rFonts w:ascii="Times New Roman" w:hAnsi="Times New Roman"/>
                <w:noProof/>
                <w:sz w:val="24"/>
                <w:szCs w:val="24"/>
              </w:rPr>
            </w:pPr>
            <w:r>
              <w:rPr>
                <w:rFonts w:ascii="Times New Roman" w:hAnsi="Times New Roman"/>
                <w:noProof/>
                <w:sz w:val="24"/>
              </w:rPr>
              <w:t>Evropski parlament in Svet bi morala zagotov</w:t>
            </w:r>
            <w:r>
              <w:rPr>
                <w:rFonts w:ascii="Times New Roman" w:hAnsi="Times New Roman"/>
                <w:noProof/>
                <w:sz w:val="24"/>
              </w:rPr>
              <w:t xml:space="preserve">iti podporo za </w:t>
            </w:r>
            <w:r>
              <w:rPr>
                <w:rFonts w:ascii="Times New Roman" w:hAnsi="Times New Roman"/>
                <w:b/>
                <w:i/>
                <w:noProof/>
                <w:sz w:val="24"/>
              </w:rPr>
              <w:t>ukrepe vključevanja v naslednjem večletnem finančnem okviru</w:t>
            </w:r>
            <w:r>
              <w:rPr>
                <w:rFonts w:ascii="Times New Roman" w:hAnsi="Times New Roman"/>
                <w:noProof/>
                <w:sz w:val="24"/>
              </w:rPr>
              <w:t xml:space="preserve">. </w:t>
            </w:r>
          </w:p>
          <w:p w:rsidR="00117FA4" w:rsidRDefault="00A54415">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sz w:val="24"/>
              </w:rPr>
              <w:t xml:space="preserve">EU bi morala izkoristiti nove programe financiranja za izboljšanje usklajevanja, povezovanja znanj in spretnosti ter boljšega spremljanja </w:t>
            </w:r>
            <w:r>
              <w:rPr>
                <w:rFonts w:ascii="Times New Roman" w:hAnsi="Times New Roman"/>
                <w:b/>
                <w:i/>
                <w:noProof/>
                <w:sz w:val="24"/>
              </w:rPr>
              <w:t>ukrepov vključevanja</w:t>
            </w:r>
            <w:r>
              <w:rPr>
                <w:rFonts w:ascii="Times New Roman" w:hAnsi="Times New Roman"/>
                <w:noProof/>
                <w:sz w:val="24"/>
              </w:rPr>
              <w:t>, ki se izvajajo v dr</w:t>
            </w:r>
            <w:r>
              <w:rPr>
                <w:rFonts w:ascii="Times New Roman" w:hAnsi="Times New Roman"/>
                <w:noProof/>
                <w:sz w:val="24"/>
              </w:rPr>
              <w:t>žavah članicah.</w:t>
            </w:r>
          </w:p>
        </w:tc>
      </w:tr>
    </w:tbl>
    <w:p w:rsidR="00A54415" w:rsidRDefault="00A54415" w:rsidP="00A54415">
      <w:pPr>
        <w:pStyle w:val="ListParagraph"/>
        <w:jc w:val="both"/>
        <w:rPr>
          <w:rFonts w:ascii="Times New Roman" w:hAnsi="Times New Roman"/>
          <w:b/>
          <w:noProof/>
          <w:sz w:val="24"/>
        </w:rPr>
      </w:pPr>
    </w:p>
    <w:p w:rsidR="00A54415" w:rsidRDefault="00A54415" w:rsidP="00A54415">
      <w:pPr>
        <w:rPr>
          <w:noProof/>
        </w:rPr>
      </w:pPr>
      <w:r>
        <w:rPr>
          <w:noProof/>
        </w:rPr>
        <w:br w:type="page"/>
      </w:r>
    </w:p>
    <w:p w:rsidR="00117FA4" w:rsidRDefault="00A54415">
      <w:pPr>
        <w:pStyle w:val="ListParagraph"/>
        <w:numPr>
          <w:ilvl w:val="0"/>
          <w:numId w:val="2"/>
        </w:numPr>
        <w:jc w:val="both"/>
        <w:rPr>
          <w:rFonts w:ascii="Times New Roman" w:hAnsi="Times New Roman"/>
          <w:b/>
          <w:noProof/>
          <w:sz w:val="24"/>
          <w:szCs w:val="24"/>
        </w:rPr>
      </w:pPr>
      <w:r>
        <w:rPr>
          <w:rFonts w:ascii="Times New Roman" w:hAnsi="Times New Roman"/>
          <w:b/>
          <w:noProof/>
          <w:sz w:val="24"/>
        </w:rPr>
        <w:t>Z</w:t>
      </w:r>
      <w:r>
        <w:rPr>
          <w:rFonts w:ascii="Times New Roman" w:hAnsi="Times New Roman"/>
          <w:b/>
          <w:noProof/>
          <w:sz w:val="24"/>
        </w:rPr>
        <w:t>AKLJUČEK</w:t>
      </w:r>
    </w:p>
    <w:p w:rsidR="00117FA4" w:rsidRDefault="00117FA4">
      <w:pPr>
        <w:jc w:val="both"/>
        <w:rPr>
          <w:rFonts w:ascii="Times New Roman" w:hAnsi="Times New Roman"/>
          <w:noProof/>
          <w:sz w:val="24"/>
          <w:szCs w:val="24"/>
        </w:rPr>
      </w:pPr>
    </w:p>
    <w:p w:rsidR="00117FA4" w:rsidRDefault="00A54415">
      <w:pPr>
        <w:jc w:val="both"/>
        <w:rPr>
          <w:rFonts w:ascii="Times New Roman" w:hAnsi="Times New Roman"/>
          <w:noProof/>
          <w:sz w:val="24"/>
        </w:rPr>
      </w:pPr>
      <w:r>
        <w:rPr>
          <w:rFonts w:ascii="Times New Roman" w:hAnsi="Times New Roman"/>
          <w:noProof/>
          <w:sz w:val="24"/>
        </w:rPr>
        <w:t xml:space="preserve">Zaradi stalnega naraščanja migracijskega pritiska in tveganja nestabilnosti zunaj meja EU bodo migracije še naprej eden glavnih izzivov, s katerimi se sooča EU. Zato je bistveno, da ima EU na voljo orodja, ki jih bo potrebovala </w:t>
      </w:r>
      <w:r>
        <w:rPr>
          <w:rFonts w:ascii="Times New Roman" w:hAnsi="Times New Roman"/>
          <w:noProof/>
          <w:sz w:val="24"/>
        </w:rPr>
        <w:t>v prihodnjih letih: tesno partnerstvo z državami izvora in tranzita, potrebna finančna sredstva ter zakonodajni okvir in operativne zmogljivosti, ki ustrezno odražajo ravnotežje med solidarnostjo in odgovornostjo, ki mora biti v središču celovitega pristop</w:t>
      </w:r>
      <w:r>
        <w:rPr>
          <w:rFonts w:ascii="Times New Roman" w:hAnsi="Times New Roman"/>
          <w:noProof/>
          <w:sz w:val="24"/>
        </w:rPr>
        <w:t>a EU. Komisija meni, da je prava pot naprej, če naj bo EU kos temu izzivu, sprejetje njenih predlogov za reformo skupnega evropskega azilnega sistema ter nadgradnja evropske mejne in obalne straže, pa tudi zagotovitev zadostnega financiranja v naslednjem v</w:t>
      </w:r>
      <w:r>
        <w:rPr>
          <w:rFonts w:ascii="Times New Roman" w:hAnsi="Times New Roman"/>
          <w:noProof/>
          <w:sz w:val="24"/>
        </w:rPr>
        <w:t>ečletnem finančnem okviru, pri čemer je treba ohranjati raven ambicij.</w:t>
      </w:r>
    </w:p>
    <w:p w:rsidR="00117FA4" w:rsidRDefault="00117FA4">
      <w:pPr>
        <w:jc w:val="both"/>
        <w:rPr>
          <w:rFonts w:ascii="Times New Roman" w:hAnsi="Times New Roman"/>
          <w:noProof/>
          <w:sz w:val="24"/>
        </w:rPr>
      </w:pPr>
    </w:p>
    <w:p w:rsidR="00117FA4" w:rsidRDefault="00A54415">
      <w:pPr>
        <w:pStyle w:val="ListParagraph"/>
        <w:ind w:left="0"/>
        <w:jc w:val="both"/>
        <w:rPr>
          <w:rFonts w:ascii="Times New Roman" w:hAnsi="Times New Roman"/>
          <w:noProof/>
          <w:sz w:val="24"/>
        </w:rPr>
      </w:pPr>
      <w:r>
        <w:rPr>
          <w:rFonts w:ascii="Times New Roman" w:hAnsi="Times New Roman"/>
          <w:noProof/>
          <w:sz w:val="24"/>
        </w:rPr>
        <w:t xml:space="preserve">Nujen je celovit pristop – sprejemanje ukrepov s partnerji zunaj EU, na zunanjih mejah in znotraj EU. Obstaja jasna povezava med močno mejno in migracijsko politiko ter našo </w:t>
      </w:r>
      <w:r>
        <w:rPr>
          <w:rFonts w:ascii="Times New Roman" w:hAnsi="Times New Roman"/>
          <w:noProof/>
          <w:sz w:val="24"/>
        </w:rPr>
        <w:t>sposobnostjo ohranjanja koristi schengenskega območja. Trenutno ima šest schengenskih držav vzpostavljen nadzor na notranjih mejah</w:t>
      </w:r>
      <w:r>
        <w:rPr>
          <w:rStyle w:val="FootnoteReference"/>
          <w:rFonts w:ascii="Times New Roman" w:hAnsi="Times New Roman"/>
          <w:noProof/>
          <w:sz w:val="24"/>
        </w:rPr>
        <w:footnoteReference w:id="50"/>
      </w:r>
      <w:r>
        <w:rPr>
          <w:rFonts w:ascii="Times New Roman" w:hAnsi="Times New Roman"/>
          <w:noProof/>
          <w:sz w:val="24"/>
        </w:rPr>
        <w:t>. Komisija je razložila, kako je mogoče okrepiti varnost s sorazmernimi policijskimi kontrolami in sodelovanjem, ne da bi bil</w:t>
      </w:r>
      <w:r>
        <w:rPr>
          <w:rFonts w:ascii="Times New Roman" w:hAnsi="Times New Roman"/>
          <w:noProof/>
          <w:sz w:val="24"/>
        </w:rPr>
        <w:t xml:space="preserve"> za to potreben nadzor meje, ter predlagala spremembe pravil o začasni ponovni uvedbi nadzora na notranjih mejah</w:t>
      </w:r>
      <w:r>
        <w:rPr>
          <w:rStyle w:val="FootnoteReference"/>
          <w:rFonts w:ascii="Times New Roman" w:hAnsi="Times New Roman"/>
          <w:noProof/>
          <w:sz w:val="24"/>
        </w:rPr>
        <w:footnoteReference w:id="51"/>
      </w:r>
      <w:r>
        <w:rPr>
          <w:rFonts w:ascii="Times New Roman" w:hAnsi="Times New Roman"/>
          <w:noProof/>
          <w:sz w:val="24"/>
        </w:rPr>
        <w:t>. Glede na vsa prizadevanja za okrepitev upravljanja zunanjih meja in ob upoštevanju zmanjšanja števila nedovoljenih prihodov je čas, da se pro</w:t>
      </w:r>
      <w:r>
        <w:rPr>
          <w:rFonts w:ascii="Times New Roman" w:hAnsi="Times New Roman"/>
          <w:noProof/>
          <w:sz w:val="24"/>
        </w:rPr>
        <w:t xml:space="preserve">uči stanje z namenom odprave nadzora na notranjih mejah in ponovne vzpostavitve popolnoma delujočega schengenskega območja. </w:t>
      </w:r>
    </w:p>
    <w:p w:rsidR="00117FA4" w:rsidRDefault="00117FA4">
      <w:pPr>
        <w:jc w:val="both"/>
        <w:rPr>
          <w:rFonts w:ascii="Times New Roman" w:hAnsi="Times New Roman"/>
          <w:noProof/>
          <w:color w:val="000000"/>
          <w:sz w:val="24"/>
          <w:szCs w:val="24"/>
        </w:rPr>
      </w:pPr>
    </w:p>
    <w:p w:rsidR="00117FA4" w:rsidRDefault="00A54415">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V štirih letih po sprejetju evropske agende o migracijah se je izkazalo, da razmere zahtevajo stalno odločno ukrepanje na vseh pod</w:t>
      </w:r>
      <w:r>
        <w:rPr>
          <w:rFonts w:ascii="Times New Roman" w:hAnsi="Times New Roman"/>
          <w:noProof/>
          <w:color w:val="000000"/>
          <w:sz w:val="24"/>
        </w:rPr>
        <w:t>ročjih celovitega pristopa. Izkušnje kažejo, da so enotno ukrepanje in skupna prizadevanja držav članic in EU v tesnem sodelovanju s partnerji zunaj EU obrodila sadove in so edini način za boljše upravljanje migracij in zagotovitev, da bodo vrednote EU ost</w:t>
      </w:r>
      <w:r>
        <w:rPr>
          <w:rFonts w:ascii="Times New Roman" w:hAnsi="Times New Roman"/>
          <w:noProof/>
          <w:color w:val="000000"/>
          <w:sz w:val="24"/>
        </w:rPr>
        <w:t>ale temelj naše migracijske politike. Državljani EU od Evropske unije to tudi pričakujejo.</w:t>
      </w:r>
    </w:p>
    <w:sectPr w:rsidR="00117FA4">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A4" w:rsidRDefault="00A54415">
      <w:r>
        <w:separator/>
      </w:r>
    </w:p>
  </w:endnote>
  <w:endnote w:type="continuationSeparator" w:id="0">
    <w:p w:rsidR="00117FA4" w:rsidRDefault="00A54415">
      <w:r>
        <w:continuationSeparator/>
      </w:r>
    </w:p>
  </w:endnote>
  <w:endnote w:type="continuationNotice" w:id="1">
    <w:p w:rsidR="00117FA4" w:rsidRDefault="00117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A4" w:rsidRDefault="00117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A4" w:rsidRDefault="00A54415">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A4" w:rsidRDefault="00117FA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A4" w:rsidRDefault="00117F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44033853"/>
      <w:docPartObj>
        <w:docPartGallery w:val="Page Numbers (Bottom of Page)"/>
        <w:docPartUnique/>
      </w:docPartObj>
    </w:sdtPr>
    <w:sdtEndPr>
      <w:rPr>
        <w:noProof/>
      </w:rPr>
    </w:sdtEndPr>
    <w:sdtContent>
      <w:p w:rsidR="00117FA4" w:rsidRDefault="00A54415">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18</w:t>
        </w:r>
        <w:r>
          <w:rPr>
            <w:rFonts w:ascii="Times New Roman" w:hAnsi="Times New Roman"/>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A4" w:rsidRDefault="0011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A4" w:rsidRDefault="00A54415">
      <w:r>
        <w:separator/>
      </w:r>
    </w:p>
  </w:footnote>
  <w:footnote w:type="continuationSeparator" w:id="0">
    <w:p w:rsidR="00117FA4" w:rsidRDefault="00A54415">
      <w:r>
        <w:continuationSeparator/>
      </w:r>
    </w:p>
  </w:footnote>
  <w:footnote w:type="continuationNotice" w:id="1">
    <w:p w:rsidR="00117FA4" w:rsidRDefault="00117FA4"/>
  </w:footnote>
  <w:footnote w:id="2">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240 final z dne 13. maja 2015.</w:t>
      </w:r>
    </w:p>
  </w:footnote>
  <w:footnote w:id="3">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Poleg podpore v okviru obstoječih razvojnih programov EU.</w:t>
      </w:r>
    </w:p>
  </w:footnote>
  <w:footnote w:id="4">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Države članice oddajajo svoja poročila o izvajanju, ki zajemajo ukrepe v letu 2018. Številni begunci in zakoniti migranti so tudi imeli koristi od programov vključevanja v okviru Evropskega socialnega sklada in Evropskega sklada za regionalni razvoj. </w:t>
      </w:r>
    </w:p>
  </w:footnote>
  <w:footnote w:id="5">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Pr</w:t>
      </w:r>
      <w:r>
        <w:rPr>
          <w:rFonts w:ascii="Times New Roman" w:hAnsi="Times New Roman"/>
          <w:color w:val="000000"/>
          <w:sz w:val="18"/>
        </w:rPr>
        <w:t>isilno razseljene osebe zajemajo begunce in notranje razseljene osebe. Podpora se zagotavlja tudi njihovim gostiteljskim skupnostim.</w:t>
      </w:r>
      <w:r>
        <w:rPr>
          <w:rFonts w:ascii="Times New Roman" w:hAnsi="Times New Roman"/>
          <w:sz w:val="18"/>
        </w:rPr>
        <w:t xml:space="preserve"> Humanitarna pomoč EU se zagotavlja v skladu s humanitarnimi načeli človečnosti, nevtralnosti, nepristranskosti in neodvisno</w:t>
      </w:r>
      <w:r>
        <w:rPr>
          <w:rFonts w:ascii="Times New Roman" w:hAnsi="Times New Roman"/>
          <w:sz w:val="18"/>
        </w:rPr>
        <w:t>sti.</w:t>
      </w:r>
    </w:p>
  </w:footnote>
  <w:footnote w:id="6">
    <w:p w:rsidR="00117FA4" w:rsidRDefault="00A54415">
      <w:pPr>
        <w:pStyle w:val="FootnoteText"/>
        <w:ind w:left="284" w:hanging="284"/>
      </w:pPr>
      <w:r>
        <w:rPr>
          <w:rStyle w:val="FootnoteReference"/>
          <w:rFonts w:ascii="Times New Roman" w:hAnsi="Times New Roman"/>
        </w:rPr>
        <w:footnoteRef/>
      </w:r>
      <w:r>
        <w:tab/>
      </w:r>
      <w:r>
        <w:rPr>
          <w:rFonts w:ascii="Times New Roman" w:hAnsi="Times New Roman"/>
          <w:color w:val="000000"/>
          <w:sz w:val="18"/>
        </w:rPr>
        <w:t>To prizadevanje vključuje finančno podporo v višini 13 milijard EUR neposredno iz proračuna EU ter ukrepe v okviru skrbniških skladov EU in instrumenta za begunce v Turčiji.</w:t>
      </w:r>
    </w:p>
  </w:footnote>
  <w:footnote w:id="7">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Vsi podatki so od Evropske agencije za mejno in obalno stražo, razen če n</w:t>
      </w:r>
      <w:r>
        <w:rPr>
          <w:rFonts w:ascii="Times New Roman" w:hAnsi="Times New Roman"/>
          <w:sz w:val="18"/>
        </w:rPr>
        <w:t>i navedeno drugače.</w:t>
      </w:r>
    </w:p>
  </w:footnote>
  <w:footnote w:id="8">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Podatki španskih organov.</w:t>
      </w:r>
    </w:p>
  </w:footnote>
  <w:footnote w:id="9">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Podatki Urada ZN za begunce (UNHCR).</w:t>
      </w:r>
    </w:p>
  </w:footnote>
  <w:footnote w:id="10">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Od 21. marca 2016 je bilo iz Grčije v Turčijo na podlagi izjave EU in Turčije vrnjenih 1 836 oseb, na podlagi dvostranskega protokola Grčije in Turčije pa 601 oseb.</w:t>
      </w:r>
    </w:p>
  </w:footnote>
  <w:footnote w:id="11">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Podatki Mednarodne organizacije za migracije.</w:t>
      </w:r>
    </w:p>
  </w:footnote>
  <w:footnote w:id="12">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Predhodni podatki Evropskega azilnega podpornega urada za leto 2018.</w:t>
      </w:r>
    </w:p>
  </w:footnote>
  <w:footnote w:id="13">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Nemčija je bila še naprej glavna namembna država, čeprav se je število prošenj zmanjšalo za petino, medtem ko se je njihovo število </w:t>
      </w:r>
      <w:r>
        <w:rPr>
          <w:rFonts w:ascii="Times New Roman" w:hAnsi="Times New Roman"/>
          <w:sz w:val="18"/>
        </w:rPr>
        <w:t>znatno povečalo za Francijo in Španijo.</w:t>
      </w:r>
    </w:p>
  </w:footnote>
  <w:footnote w:id="14">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„Zadetek“ pomeni, da se podatki o prstnih odtisih iz podatkovne zbirke in podatki o prstnih odtisih, ki jih je poslala država članica, ujemajo. Število zadetkov ne ustreza številu oseb.</w:t>
      </w:r>
    </w:p>
  </w:footnote>
  <w:footnote w:id="15">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Med državami, ki so zabele</w:t>
      </w:r>
      <w:r>
        <w:rPr>
          <w:rFonts w:ascii="Times New Roman" w:hAnsi="Times New Roman"/>
          <w:sz w:val="18"/>
        </w:rPr>
        <w:t>žile največje število nezakonitih bivanj prosilcev za azil, predhodno registriranih v drugi državi članici, sta bili zlasti Belgija in Nemčija.</w:t>
      </w:r>
    </w:p>
  </w:footnote>
  <w:footnote w:id="16">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Poleg tega </w:t>
      </w:r>
      <w:r>
        <w:rPr>
          <w:rFonts w:ascii="Times New Roman" w:hAnsi="Times New Roman"/>
          <w:color w:val="000000"/>
          <w:sz w:val="18"/>
        </w:rPr>
        <w:t>je bilo 14,5 milijona EUR dodeljenih za izboljšanje upravljanja migracij na regionalni ravni, ki o</w:t>
      </w:r>
      <w:r>
        <w:rPr>
          <w:rFonts w:ascii="Times New Roman" w:hAnsi="Times New Roman"/>
          <w:color w:val="000000"/>
          <w:sz w:val="18"/>
        </w:rPr>
        <w:t>bravnava migrante, vrnjene osebe in Maročane, ki živijo v tujini. Skupni znesek programov, ki trenutno potekajo, je 232 milijonov EUR.</w:t>
      </w:r>
    </w:p>
  </w:footnote>
  <w:footnote w:id="17">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Na podlagi podatkov iz aplikacije za poročanje o skupnih operacijah (JORA), ki jo upravlja evropska mejna in obalna str</w:t>
      </w:r>
      <w:r>
        <w:rPr>
          <w:rFonts w:ascii="Times New Roman" w:hAnsi="Times New Roman"/>
          <w:sz w:val="18"/>
        </w:rPr>
        <w:t xml:space="preserve">aža, so maroški organi leta 2018 nedovoljen odhod iz Maroka po morju preprečili skoraj 15 000 ljudem. Tudi maroški organi izvajajo preventivne ukrepe v notranjosti držav. Maroško ministrstvo za notranje zadeve ocenjuje, da je bil leta 2018 odhod iz Maroka </w:t>
      </w:r>
      <w:r>
        <w:rPr>
          <w:rFonts w:ascii="Times New Roman" w:hAnsi="Times New Roman"/>
          <w:sz w:val="18"/>
        </w:rPr>
        <w:t>preprečen 88 761 migrantom.</w:t>
      </w:r>
    </w:p>
  </w:footnote>
  <w:footnote w:id="18">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C(2015) 7293 final z dne 20. oktobra 2015.</w:t>
      </w:r>
    </w:p>
  </w:footnote>
  <w:footnote w:id="19">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To dopolnjuje obstoječe programe, ki jih financira EU in ki podpirajo upravljanje migracij, upravljanje meja, boj proti trgovini z ljudmi in kriminalnim združbam ter boj proti teror</w:t>
      </w:r>
      <w:r>
        <w:rPr>
          <w:rFonts w:ascii="Times New Roman" w:hAnsi="Times New Roman"/>
          <w:color w:val="000000"/>
          <w:sz w:val="18"/>
        </w:rPr>
        <w:t>izmu.</w:t>
      </w:r>
    </w:p>
  </w:footnote>
  <w:footnote w:id="20">
    <w:p w:rsidR="00117FA4" w:rsidRDefault="00A54415">
      <w:pPr>
        <w:pStyle w:val="FootnoteText"/>
        <w:ind w:left="284" w:hanging="284"/>
        <w:jc w:val="both"/>
        <w:rPr>
          <w:sz w:val="18"/>
          <w:szCs w:val="18"/>
        </w:rPr>
      </w:pPr>
      <w:r>
        <w:rPr>
          <w:rStyle w:val="FootnoteReference"/>
          <w:rFonts w:ascii="Times New Roman" w:hAnsi="Times New Roman"/>
          <w:sz w:val="18"/>
        </w:rPr>
        <w:footnoteRef/>
      </w:r>
      <w:r>
        <w:rPr>
          <w:sz w:val="18"/>
        </w:rPr>
        <w:t xml:space="preserve"> </w:t>
      </w:r>
      <w:r>
        <w:tab/>
      </w:r>
      <w:r>
        <w:rPr>
          <w:rFonts w:ascii="Times New Roman" w:hAnsi="Times New Roman"/>
          <w:sz w:val="18"/>
        </w:rPr>
        <w:t>O tem se bo razpravljalo na naslednjem srečanju Odbora za evropski instrument sosedstva, ki bo potekalo aprila 2019.</w:t>
      </w:r>
    </w:p>
  </w:footnote>
  <w:footnote w:id="21">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Ocena Agencije Združenih narodov za begunce in Mednarodne organizacije za migracije.</w:t>
      </w:r>
    </w:p>
  </w:footnote>
  <w:footnote w:id="22">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Z nadaljnjo preselitvijo v Belgijo, Kanad</w:t>
      </w:r>
      <w:r>
        <w:rPr>
          <w:rFonts w:ascii="Times New Roman" w:hAnsi="Times New Roman"/>
          <w:sz w:val="18"/>
        </w:rPr>
        <w:t>o, Finsko, Francijo, Nemčijo, Nizozemsko, Norveško, Švedsko, Švico, Združeno kraljestvo in Združene države. Število dodatnih evakuacij UNHCR v Italijo in v tranzitni center v Romuniji znaša skupaj 3 175 oseb.</w:t>
      </w:r>
    </w:p>
  </w:footnote>
  <w:footnote w:id="23">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Nedavna podpora je zajemala več tolmačenja, p</w:t>
      </w:r>
      <w:r>
        <w:rPr>
          <w:rFonts w:ascii="Times New Roman" w:hAnsi="Times New Roman"/>
          <w:sz w:val="18"/>
        </w:rPr>
        <w:t xml:space="preserve">osodobljene sprejemne zmogljivosti in napotitev vojaških zdravnikov ter sprejetje finančnega načrtovanja za leto 2019, da se zagotovijo ustrezni pogoji za sprejem in omogoči podpora na celini (glej naslednjo opombo). </w:t>
      </w:r>
    </w:p>
  </w:footnote>
  <w:footnote w:id="24">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noProof/>
          <w:sz w:val="18"/>
        </w:rPr>
        <w:t>Zadnja podpora, dodeljena decembra 2</w:t>
      </w:r>
      <w:r>
        <w:rPr>
          <w:rFonts w:ascii="Times New Roman" w:hAnsi="Times New Roman"/>
          <w:noProof/>
          <w:sz w:val="18"/>
        </w:rPr>
        <w:t>018, je zajemala 190 milijonov EUR za zagotovitev delovanja programa nujne pomoči za vključevanje in nastanitev (ESTIA), ki ga izvaja agencija ZN za begunce (UNHCR), ter 61 milijonov EUR za nadaljevanje podpornega programa na kraju samem v sprejemnih objek</w:t>
      </w:r>
      <w:r>
        <w:rPr>
          <w:rFonts w:ascii="Times New Roman" w:hAnsi="Times New Roman"/>
          <w:noProof/>
          <w:sz w:val="18"/>
        </w:rPr>
        <w:t>tih na celini, ki ga vodita Mednarodna organizacija za migracije (IOM) in Sklad Združenih narodov za otroke (UNICEF). Delovanje instrumenta za nujno pomoč se bo marca 2019 zaključilo. Glavni programi v Grčiji za leto 2019 se bodo nadaljevali s podporo iz d</w:t>
      </w:r>
      <w:r>
        <w:rPr>
          <w:rFonts w:ascii="Times New Roman" w:hAnsi="Times New Roman"/>
          <w:noProof/>
          <w:sz w:val="18"/>
        </w:rPr>
        <w:t>rugih virov financiranja EU.</w:t>
      </w:r>
    </w:p>
  </w:footnote>
  <w:footnote w:id="25">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Med ključnimi skupinami so ranljive osebe, vključno z mladoletniki brez spremstva, Sirci in državljani, katerih prošnje imajo po uradnih nacionalnih statističnih podatkih majhno možnost ugodne rešitve.</w:t>
      </w:r>
    </w:p>
  </w:footnote>
  <w:footnote w:id="26">
    <w:p w:rsidR="00117FA4" w:rsidRDefault="00A54415">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798 final z</w:t>
      </w:r>
      <w:r>
        <w:rPr>
          <w:rFonts w:ascii="Times New Roman" w:hAnsi="Times New Roman"/>
          <w:sz w:val="18"/>
        </w:rPr>
        <w:t xml:space="preserve"> dne 4. decembra 2018.</w:t>
      </w:r>
    </w:p>
  </w:footnote>
  <w:footnote w:id="27">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COM(2016) 385 final z dne 7. junija 2016.</w:t>
      </w:r>
    </w:p>
  </w:footnote>
  <w:footnote w:id="28">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Projekti, odobreni s strani operativnih odborov, ki skupaj znašajo približno 3,6 milijarde EUR</w:t>
      </w:r>
      <w:r>
        <w:t>.</w:t>
      </w:r>
      <w:r>
        <w:rPr>
          <w:rFonts w:ascii="Times New Roman" w:hAnsi="Times New Roman"/>
          <w:color w:val="000000"/>
          <w:sz w:val="18"/>
        </w:rPr>
        <w:t xml:space="preserve"> Doslej</w:t>
      </w:r>
      <w:r>
        <w:rPr>
          <w:rFonts w:ascii="Times New Roman" w:hAnsi="Times New Roman"/>
          <w:sz w:val="18"/>
        </w:rPr>
        <w:t xml:space="preserve"> je bilo podpisanih 393 pogodb za skupno več kot 2,6 milijarde EUR.</w:t>
      </w:r>
    </w:p>
  </w:footnote>
  <w:footnote w:id="29">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Končne zneske in razdelitve teh jamstev je treba opredeliti v sporazumih o jamstvih, ki jih podpišejo razvojne banke in Evropska komisija. </w:t>
      </w:r>
    </w:p>
  </w:footnote>
  <w:footnote w:id="30">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Dokument 15250/18 z dne 6. decembra 2018.</w:t>
      </w:r>
    </w:p>
  </w:footnote>
  <w:footnote w:id="31">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285 final z dne 27. maja 2015.</w:t>
      </w:r>
    </w:p>
  </w:footnote>
  <w:footnote w:id="32">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Financirajo se v okviru Skl</w:t>
      </w:r>
      <w:r>
        <w:rPr>
          <w:rFonts w:ascii="Times New Roman" w:hAnsi="Times New Roman"/>
          <w:sz w:val="18"/>
        </w:rPr>
        <w:t>ada za azil, migracije in vključevanje.</w:t>
      </w:r>
    </w:p>
  </w:footnote>
  <w:footnote w:id="33">
    <w:p w:rsidR="00117FA4" w:rsidRDefault="00A54415">
      <w:pPr>
        <w:pStyle w:val="FootnoteText"/>
        <w:ind w:left="284" w:hanging="284"/>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Etiopija, Jordanija, Libanon, Mali, Maroko, Niger, Nigerija, Pakistan, Senegal, Srbija, Sudan, Tunizija.</w:t>
      </w:r>
    </w:p>
  </w:footnote>
  <w:footnote w:id="34">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303 final z dne 16. maja 2018.</w:t>
      </w:r>
      <w:r>
        <w:tab/>
      </w:r>
    </w:p>
  </w:footnote>
  <w:footnote w:id="35">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Organizirano v okviru cikla politik EU o Evropski večdisciplin</w:t>
      </w:r>
      <w:r>
        <w:rPr>
          <w:rFonts w:ascii="Times New Roman" w:hAnsi="Times New Roman"/>
          <w:sz w:val="18"/>
        </w:rPr>
        <w:t xml:space="preserve">arni platformi proti grožnjam kriminala (EMPACT). </w:t>
      </w:r>
    </w:p>
  </w:footnote>
  <w:footnote w:id="36">
    <w:p w:rsidR="00117FA4" w:rsidRDefault="00A54415">
      <w:pPr>
        <w:pStyle w:val="FootnoteText"/>
        <w:ind w:left="284" w:hanging="284"/>
        <w:jc w:val="both"/>
      </w:pPr>
      <w:r>
        <w:rPr>
          <w:rStyle w:val="FootnoteReference"/>
          <w:rFonts w:ascii="Times New Roman" w:hAnsi="Times New Roman"/>
          <w:sz w:val="18"/>
        </w:rPr>
        <w:footnoteRef/>
      </w:r>
      <w:r>
        <w:tab/>
      </w:r>
      <w:r>
        <w:rPr>
          <w:rFonts w:ascii="Times New Roman" w:hAnsi="Times New Roman"/>
          <w:sz w:val="18"/>
        </w:rPr>
        <w:t>COM(2017) 200 in C(2017) 1600</w:t>
      </w:r>
      <w:r>
        <w:rPr>
          <w:rFonts w:ascii="Times New Roman" w:hAnsi="Times New Roman"/>
          <w:color w:val="000000"/>
          <w:sz w:val="18"/>
        </w:rPr>
        <w:t>, ki temeljita na</w:t>
      </w:r>
      <w:r>
        <w:rPr>
          <w:rFonts w:ascii="Times New Roman" w:hAnsi="Times New Roman"/>
          <w:sz w:val="18"/>
        </w:rPr>
        <w:t xml:space="preserve"> COM(2015) 453</w:t>
      </w:r>
      <w:r>
        <w:rPr>
          <w:rFonts w:ascii="Times New Roman" w:hAnsi="Times New Roman"/>
          <w:color w:val="000000"/>
          <w:sz w:val="18"/>
        </w:rPr>
        <w:t xml:space="preserve">. </w:t>
      </w:r>
    </w:p>
  </w:footnote>
  <w:footnote w:id="37">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Uredba (EU) 2018/1861 z dne 28. novembra 2018 o vzpostavitvi, delovanju in uporabi schengenskega informacijskega sistema (SIS) na področju</w:t>
      </w:r>
      <w:r>
        <w:rPr>
          <w:rFonts w:ascii="Times New Roman" w:hAnsi="Times New Roman"/>
          <w:sz w:val="18"/>
        </w:rPr>
        <w:t xml:space="preserve"> mejnih kontrol in Uredba (EU) 2018/1860 z dne 28. novembra 2018 o uporabi schengenskega informacijskega sistema za vračanje nezakonito prebivajočih državljanov tretjih držav.</w:t>
      </w:r>
    </w:p>
  </w:footnote>
  <w:footnote w:id="38">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To bi se okrepilo z novim predlogom o evropski mejni in obalni straži </w:t>
      </w:r>
      <w:r>
        <w:rPr>
          <w:rFonts w:ascii="Times New Roman" w:hAnsi="Times New Roman"/>
          <w:sz w:val="18"/>
        </w:rPr>
        <w:t>(COM(2018) 631 final z dne 12. septembra 2018).</w:t>
      </w:r>
    </w:p>
  </w:footnote>
  <w:footnote w:id="39">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634 final z dne 9. decembra 2018.</w:t>
      </w:r>
    </w:p>
  </w:footnote>
  <w:footnote w:id="40">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Nevračanje pomeni, da osebe ni mogoče vrniti v državo, v kateri se ta oseba utemeljeno boji preganjanja. </w:t>
      </w:r>
    </w:p>
  </w:footnote>
  <w:footnote w:id="41">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Viri: Evropska agencija za mejno in obalno stražo in</w:t>
      </w:r>
      <w:r>
        <w:rPr>
          <w:rFonts w:ascii="Times New Roman" w:hAnsi="Times New Roman"/>
          <w:sz w:val="18"/>
        </w:rPr>
        <w:t xml:space="preserve"> operacija Sophia.</w:t>
      </w:r>
    </w:p>
  </w:footnote>
  <w:footnote w:id="42">
    <w:p w:rsidR="00117FA4" w:rsidRDefault="00A54415">
      <w:pPr>
        <w:pStyle w:val="FootnoteText"/>
        <w:ind w:left="284" w:hanging="284"/>
        <w:rPr>
          <w:rFonts w:ascii="Times New Roman" w:hAnsi="Times New Roman" w:cs="Times New Roman"/>
        </w:rPr>
      </w:pPr>
      <w:r>
        <w:rPr>
          <w:rStyle w:val="FootnoteReference"/>
          <w:rFonts w:ascii="Times New Roman" w:hAnsi="Times New Roman"/>
        </w:rPr>
        <w:footnoteRef/>
      </w:r>
      <w:r>
        <w:tab/>
      </w:r>
      <w:r>
        <w:rPr>
          <w:rFonts w:ascii="Times New Roman" w:hAnsi="Times New Roman"/>
          <w:sz w:val="18"/>
        </w:rPr>
        <w:t>COM(2018) 798 final z dne 4. decembra 2018.</w:t>
      </w:r>
    </w:p>
  </w:footnote>
  <w:footnote w:id="43">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V okviru programa pogojnega nakazila sredstev za izobraževanje (CCTE).</w:t>
      </w:r>
    </w:p>
  </w:footnote>
  <w:footnote w:id="44">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Proračun skrbniškega sklada je do konca leta 2018 ob podpori 22 držav članic in Turčije ter proračuna EU dosegel 1,6</w:t>
      </w:r>
      <w:r>
        <w:rPr>
          <w:rFonts w:ascii="Times New Roman" w:hAnsi="Times New Roman"/>
          <w:sz w:val="18"/>
        </w:rPr>
        <w:t xml:space="preserve"> milijarde EUR.</w:t>
      </w:r>
      <w:r>
        <w:rPr>
          <w:rFonts w:ascii="Times New Roman" w:hAnsi="Times New Roman"/>
          <w:color w:val="000000"/>
          <w:sz w:val="18"/>
        </w:rPr>
        <w:t xml:space="preserve"> Od tega je bilo 94 % prevzetih obveznosti, 74 % sklenjenih pogodb, 690 milijonov EUR pa je bilo izplačanih. </w:t>
      </w:r>
      <w:r>
        <w:rPr>
          <w:rFonts w:ascii="Times New Roman" w:hAnsi="Times New Roman"/>
          <w:sz w:val="18"/>
        </w:rPr>
        <w:t>Strateška vmesna ocena je priporočila podaljšanje skrbniškega sklada EU prek njegovega sedanjega mandata, ki traja do decembra 2019.</w:t>
      </w:r>
    </w:p>
  </w:footnote>
  <w:footnote w:id="45">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Financirajo se v okviru Sklada za azil, migracije in vključevanje.</w:t>
      </w:r>
      <w:r>
        <w:rPr>
          <w:rFonts w:ascii="Times New Roman" w:hAnsi="Times New Roman"/>
          <w:color w:val="000000"/>
          <w:sz w:val="18"/>
        </w:rPr>
        <w:t xml:space="preserve"> Od leta 2015 je bilo približno 37 milijonov EUR namenjenih za projekte, ki se osredotočajo na zaščito v Severni Afriki, in 27,5 milijona EUR za projekte v Afriškem rogu.</w:t>
      </w:r>
      <w:r>
        <w:rPr>
          <w:rFonts w:ascii="Times New Roman" w:hAnsi="Times New Roman"/>
          <w:color w:val="000000"/>
          <w:sz w:val="24"/>
        </w:rPr>
        <w:t xml:space="preserve"> </w:t>
      </w:r>
    </w:p>
  </w:footnote>
  <w:footnote w:id="46">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Predlog </w:t>
      </w:r>
      <w:r>
        <w:rPr>
          <w:rFonts w:ascii="Times New Roman" w:hAnsi="Times New Roman"/>
          <w:sz w:val="18"/>
        </w:rPr>
        <w:t>Komisije uvaja skupne določbe za sedem skladov, ki bi morali zagotoviti boljše sinergije in s tem večjo učinkovitost pri obravnavi vključevanja državljanov tretjih držav, ki zakonito prebivajo v EU, in oseb z migrantskim ozadjem.</w:t>
      </w:r>
    </w:p>
  </w:footnote>
  <w:footnote w:id="47">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V glavnem v okviru Sklad</w:t>
      </w:r>
      <w:r>
        <w:rPr>
          <w:rFonts w:ascii="Times New Roman" w:hAnsi="Times New Roman"/>
          <w:sz w:val="18"/>
        </w:rPr>
        <w:t>a za azil in migracije. Drugi ukrepi bi vključevali pomoč na področjih, kot so stanovanja in zdravstveno varstvo, ter ukrepe za spodbujanje sodelovanja z gostiteljskimi družbami.</w:t>
      </w:r>
    </w:p>
  </w:footnote>
  <w:footnote w:id="48">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To vključuje jezikovno usposabljanje na delovnem mestu, programe poklicnega</w:t>
      </w:r>
      <w:r>
        <w:rPr>
          <w:rFonts w:ascii="Times New Roman" w:hAnsi="Times New Roman"/>
          <w:sz w:val="18"/>
        </w:rPr>
        <w:t xml:space="preserve"> izobraževanja in usposabljanja, ukrepe za podporo samozaposlovanja, spodbujanje udeležbe žensk na trgu dela, socialno vključenost itd., v skladu s posebnimi cilji, določenimi v regulativnem predlogu Evropskega socialnega sklada plus.</w:t>
      </w:r>
    </w:p>
  </w:footnote>
  <w:footnote w:id="49">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Zlasti z namenitvij</w:t>
      </w:r>
      <w:r>
        <w:rPr>
          <w:rFonts w:ascii="Times New Roman" w:hAnsi="Times New Roman"/>
          <w:sz w:val="18"/>
        </w:rPr>
        <w:t>o 25 % sredstev, predlaganih za socialno vključevanje v okviru Evropskega socialnega sklada plus. Tudi Evropski sklad za regionalni razvoj lahko podpre naložbe v nove sprejemne zmogljivosti in socialna stanovanja ter oživitev prikrajšanih mestnih in podeže</w:t>
      </w:r>
      <w:r>
        <w:rPr>
          <w:rFonts w:ascii="Times New Roman" w:hAnsi="Times New Roman"/>
          <w:sz w:val="18"/>
        </w:rPr>
        <w:t>lskih območij.</w:t>
      </w:r>
    </w:p>
  </w:footnote>
  <w:footnote w:id="50">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Avstrija, Nemčija, Danska, Švedska in Norveška iz razlogov, povezanih z migracijsko krizo in sekundarnimi gibanji; Francija predvsem zaradi terorističnih groženj. </w:t>
      </w:r>
    </w:p>
  </w:footnote>
  <w:footnote w:id="51">
    <w:p w:rsidR="00117FA4" w:rsidRDefault="00A54415">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C(2017) 3349 final z dne 12. maja 2017 in C(2017) 6560 final z dne 27. se</w:t>
      </w:r>
      <w:r>
        <w:rPr>
          <w:rFonts w:ascii="Times New Roman" w:hAnsi="Times New Roman"/>
          <w:sz w:val="18"/>
        </w:rPr>
        <w:t>ptembra 2017 ter COM(2017) 571 final z dne 27. septembra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A4" w:rsidRDefault="00117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A4" w:rsidRDefault="00117FA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A4" w:rsidRDefault="00117FA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A4" w:rsidRDefault="00117F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A4" w:rsidRDefault="00117FA4">
    <w:pPr>
      <w:pStyle w:val="Header"/>
      <w:jc w:val="right"/>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A4" w:rsidRDefault="00117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BE"/>
    <w:multiLevelType w:val="hybridMultilevel"/>
    <w:tmpl w:val="09B6EDB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040B5B"/>
    <w:multiLevelType w:val="hybridMultilevel"/>
    <w:tmpl w:val="A06C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2F17"/>
    <w:multiLevelType w:val="hybridMultilevel"/>
    <w:tmpl w:val="FFA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6DA8"/>
    <w:multiLevelType w:val="hybridMultilevel"/>
    <w:tmpl w:val="9CEC9FA4"/>
    <w:lvl w:ilvl="0" w:tplc="C2C24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4F85"/>
    <w:multiLevelType w:val="hybridMultilevel"/>
    <w:tmpl w:val="7B1A1ED0"/>
    <w:lvl w:ilvl="0" w:tplc="4672D052">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52A8E"/>
    <w:multiLevelType w:val="hybridMultilevel"/>
    <w:tmpl w:val="7536F2D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864AC0"/>
    <w:multiLevelType w:val="hybridMultilevel"/>
    <w:tmpl w:val="078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51889"/>
    <w:multiLevelType w:val="hybridMultilevel"/>
    <w:tmpl w:val="E0E8ACEC"/>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A8E"/>
    <w:multiLevelType w:val="hybridMultilevel"/>
    <w:tmpl w:val="A890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76931"/>
    <w:multiLevelType w:val="hybridMultilevel"/>
    <w:tmpl w:val="723AA55E"/>
    <w:lvl w:ilvl="0" w:tplc="71D0C3A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5464DD5"/>
    <w:multiLevelType w:val="hybridMultilevel"/>
    <w:tmpl w:val="7652A03C"/>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B5F9A"/>
    <w:multiLevelType w:val="hybridMultilevel"/>
    <w:tmpl w:val="089A7C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78C0B79"/>
    <w:multiLevelType w:val="hybridMultilevel"/>
    <w:tmpl w:val="C3D429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8097C"/>
    <w:multiLevelType w:val="hybridMultilevel"/>
    <w:tmpl w:val="2C1C9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6E679E"/>
    <w:multiLevelType w:val="hybridMultilevel"/>
    <w:tmpl w:val="9B208572"/>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03B"/>
    <w:multiLevelType w:val="hybridMultilevel"/>
    <w:tmpl w:val="2CA8AAB0"/>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73747"/>
    <w:multiLevelType w:val="hybridMultilevel"/>
    <w:tmpl w:val="DB98158C"/>
    <w:lvl w:ilvl="0" w:tplc="0407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1A6F54F1"/>
    <w:multiLevelType w:val="hybridMultilevel"/>
    <w:tmpl w:val="D45AF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FE2707"/>
    <w:multiLevelType w:val="hybridMultilevel"/>
    <w:tmpl w:val="AFB68ACA"/>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F52C3"/>
    <w:multiLevelType w:val="hybridMultilevel"/>
    <w:tmpl w:val="3C5613BA"/>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D185B6E"/>
    <w:multiLevelType w:val="hybridMultilevel"/>
    <w:tmpl w:val="9746070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1" w15:restartNumberingAfterBreak="0">
    <w:nsid w:val="1E0D0EE1"/>
    <w:multiLevelType w:val="hybridMultilevel"/>
    <w:tmpl w:val="1228CDA8"/>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D6455"/>
    <w:multiLevelType w:val="hybridMultilevel"/>
    <w:tmpl w:val="5EEA8F1C"/>
    <w:lvl w:ilvl="0" w:tplc="71D0C3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F676EF"/>
    <w:multiLevelType w:val="hybridMultilevel"/>
    <w:tmpl w:val="147071DE"/>
    <w:lvl w:ilvl="0" w:tplc="4672D05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C83757"/>
    <w:multiLevelType w:val="hybridMultilevel"/>
    <w:tmpl w:val="A31AC09C"/>
    <w:lvl w:ilvl="0" w:tplc="00109D30">
      <w:numFmt w:val="bullet"/>
      <w:lvlText w:val="•"/>
      <w:lvlJc w:val="left"/>
      <w:pPr>
        <w:ind w:left="36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764645D"/>
    <w:multiLevelType w:val="hybridMultilevel"/>
    <w:tmpl w:val="0E0E96B0"/>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F4543"/>
    <w:multiLevelType w:val="hybridMultilevel"/>
    <w:tmpl w:val="CA803E3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289477E6"/>
    <w:multiLevelType w:val="hybridMultilevel"/>
    <w:tmpl w:val="078A9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CCB28E5"/>
    <w:multiLevelType w:val="hybridMultilevel"/>
    <w:tmpl w:val="37DA1B36"/>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E04011B"/>
    <w:multiLevelType w:val="hybridMultilevel"/>
    <w:tmpl w:val="2BDA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E675A0"/>
    <w:multiLevelType w:val="hybridMultilevel"/>
    <w:tmpl w:val="560EB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52B3D"/>
    <w:multiLevelType w:val="hybridMultilevel"/>
    <w:tmpl w:val="50006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EC03E5"/>
    <w:multiLevelType w:val="hybridMultilevel"/>
    <w:tmpl w:val="601C766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11C307B"/>
    <w:multiLevelType w:val="hybridMultilevel"/>
    <w:tmpl w:val="5C78D97C"/>
    <w:lvl w:ilvl="0" w:tplc="279CE9EC">
      <w:start w:val="1"/>
      <w:numFmt w:val="bullet"/>
      <w:lvlText w:val="•"/>
      <w:lvlJc w:val="left"/>
      <w:pPr>
        <w:tabs>
          <w:tab w:val="num" w:pos="720"/>
        </w:tabs>
        <w:ind w:left="720" w:hanging="360"/>
      </w:pPr>
      <w:rPr>
        <w:rFonts w:ascii="Times New Roman" w:hAnsi="Times New Roman" w:hint="default"/>
      </w:rPr>
    </w:lvl>
    <w:lvl w:ilvl="1" w:tplc="9CB43992">
      <w:start w:val="1"/>
      <w:numFmt w:val="bullet"/>
      <w:lvlText w:val="•"/>
      <w:lvlJc w:val="left"/>
      <w:pPr>
        <w:tabs>
          <w:tab w:val="num" w:pos="1440"/>
        </w:tabs>
        <w:ind w:left="1440" w:hanging="360"/>
      </w:pPr>
      <w:rPr>
        <w:rFonts w:ascii="Times New Roman" w:hAnsi="Times New Roman" w:hint="default"/>
      </w:rPr>
    </w:lvl>
    <w:lvl w:ilvl="2" w:tplc="F0720A3E" w:tentative="1">
      <w:start w:val="1"/>
      <w:numFmt w:val="bullet"/>
      <w:lvlText w:val="•"/>
      <w:lvlJc w:val="left"/>
      <w:pPr>
        <w:tabs>
          <w:tab w:val="num" w:pos="2160"/>
        </w:tabs>
        <w:ind w:left="2160" w:hanging="360"/>
      </w:pPr>
      <w:rPr>
        <w:rFonts w:ascii="Times New Roman" w:hAnsi="Times New Roman" w:hint="default"/>
      </w:rPr>
    </w:lvl>
    <w:lvl w:ilvl="3" w:tplc="620E4760" w:tentative="1">
      <w:start w:val="1"/>
      <w:numFmt w:val="bullet"/>
      <w:lvlText w:val="•"/>
      <w:lvlJc w:val="left"/>
      <w:pPr>
        <w:tabs>
          <w:tab w:val="num" w:pos="2880"/>
        </w:tabs>
        <w:ind w:left="2880" w:hanging="360"/>
      </w:pPr>
      <w:rPr>
        <w:rFonts w:ascii="Times New Roman" w:hAnsi="Times New Roman" w:hint="default"/>
      </w:rPr>
    </w:lvl>
    <w:lvl w:ilvl="4" w:tplc="A81A6532" w:tentative="1">
      <w:start w:val="1"/>
      <w:numFmt w:val="bullet"/>
      <w:lvlText w:val="•"/>
      <w:lvlJc w:val="left"/>
      <w:pPr>
        <w:tabs>
          <w:tab w:val="num" w:pos="3600"/>
        </w:tabs>
        <w:ind w:left="3600" w:hanging="360"/>
      </w:pPr>
      <w:rPr>
        <w:rFonts w:ascii="Times New Roman" w:hAnsi="Times New Roman" w:hint="default"/>
      </w:rPr>
    </w:lvl>
    <w:lvl w:ilvl="5" w:tplc="AEAA5C9E" w:tentative="1">
      <w:start w:val="1"/>
      <w:numFmt w:val="bullet"/>
      <w:lvlText w:val="•"/>
      <w:lvlJc w:val="left"/>
      <w:pPr>
        <w:tabs>
          <w:tab w:val="num" w:pos="4320"/>
        </w:tabs>
        <w:ind w:left="4320" w:hanging="360"/>
      </w:pPr>
      <w:rPr>
        <w:rFonts w:ascii="Times New Roman" w:hAnsi="Times New Roman" w:hint="default"/>
      </w:rPr>
    </w:lvl>
    <w:lvl w:ilvl="6" w:tplc="7332BAF0" w:tentative="1">
      <w:start w:val="1"/>
      <w:numFmt w:val="bullet"/>
      <w:lvlText w:val="•"/>
      <w:lvlJc w:val="left"/>
      <w:pPr>
        <w:tabs>
          <w:tab w:val="num" w:pos="5040"/>
        </w:tabs>
        <w:ind w:left="5040" w:hanging="360"/>
      </w:pPr>
      <w:rPr>
        <w:rFonts w:ascii="Times New Roman" w:hAnsi="Times New Roman" w:hint="default"/>
      </w:rPr>
    </w:lvl>
    <w:lvl w:ilvl="7" w:tplc="144867DC" w:tentative="1">
      <w:start w:val="1"/>
      <w:numFmt w:val="bullet"/>
      <w:lvlText w:val="•"/>
      <w:lvlJc w:val="left"/>
      <w:pPr>
        <w:tabs>
          <w:tab w:val="num" w:pos="5760"/>
        </w:tabs>
        <w:ind w:left="5760" w:hanging="360"/>
      </w:pPr>
      <w:rPr>
        <w:rFonts w:ascii="Times New Roman" w:hAnsi="Times New Roman" w:hint="default"/>
      </w:rPr>
    </w:lvl>
    <w:lvl w:ilvl="8" w:tplc="BC3A733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18C75F2"/>
    <w:multiLevelType w:val="hybridMultilevel"/>
    <w:tmpl w:val="7C2AEBFC"/>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F41AAC"/>
    <w:multiLevelType w:val="hybridMultilevel"/>
    <w:tmpl w:val="C750EDB8"/>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2F93A07"/>
    <w:multiLevelType w:val="hybridMultilevel"/>
    <w:tmpl w:val="A85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1C6716"/>
    <w:multiLevelType w:val="hybridMultilevel"/>
    <w:tmpl w:val="FD9A8768"/>
    <w:lvl w:ilvl="0" w:tplc="25EE996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4B83D22"/>
    <w:multiLevelType w:val="hybridMultilevel"/>
    <w:tmpl w:val="E1F2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C7E88"/>
    <w:multiLevelType w:val="hybridMultilevel"/>
    <w:tmpl w:val="D374C3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ED4546"/>
    <w:multiLevelType w:val="hybridMultilevel"/>
    <w:tmpl w:val="B93EF4CE"/>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39925A32"/>
    <w:multiLevelType w:val="hybridMultilevel"/>
    <w:tmpl w:val="B5B0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5D018D"/>
    <w:multiLevelType w:val="hybridMultilevel"/>
    <w:tmpl w:val="BB4E2C8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2BB37BD"/>
    <w:multiLevelType w:val="hybridMultilevel"/>
    <w:tmpl w:val="A95C99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43DD30CF"/>
    <w:multiLevelType w:val="hybridMultilevel"/>
    <w:tmpl w:val="9C8E8054"/>
    <w:lvl w:ilvl="0" w:tplc="4672D052">
      <w:numFmt w:val="bullet"/>
      <w:lvlText w:val="–"/>
      <w:lvlJc w:val="left"/>
      <w:pPr>
        <w:ind w:left="360" w:hanging="360"/>
      </w:pPr>
      <w:rPr>
        <w:rFonts w:ascii="Times New Roman" w:eastAsia="Calibri" w:hAnsi="Times New Roman" w:cs="Times New Roman" w:hint="default"/>
      </w:rPr>
    </w:lvl>
    <w:lvl w:ilvl="1" w:tplc="25EE996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3608EB"/>
    <w:multiLevelType w:val="hybridMultilevel"/>
    <w:tmpl w:val="39887CBA"/>
    <w:lvl w:ilvl="0" w:tplc="F3E42E30">
      <w:start w:val="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401CE4"/>
    <w:multiLevelType w:val="hybridMultilevel"/>
    <w:tmpl w:val="164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C007B7"/>
    <w:multiLevelType w:val="hybridMultilevel"/>
    <w:tmpl w:val="6430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FE36CC5"/>
    <w:multiLevelType w:val="hybridMultilevel"/>
    <w:tmpl w:val="2E50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7452F8"/>
    <w:multiLevelType w:val="hybridMultilevel"/>
    <w:tmpl w:val="79C29E5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95464E"/>
    <w:multiLevelType w:val="hybridMultilevel"/>
    <w:tmpl w:val="90E8BDA6"/>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55710540"/>
    <w:multiLevelType w:val="hybridMultilevel"/>
    <w:tmpl w:val="C15C7100"/>
    <w:lvl w:ilvl="0" w:tplc="C09E07AC">
      <w:start w:val="1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7B628DC"/>
    <w:multiLevelType w:val="hybridMultilevel"/>
    <w:tmpl w:val="7B4454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5A3F6939"/>
    <w:multiLevelType w:val="hybridMultilevel"/>
    <w:tmpl w:val="D72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DE441F"/>
    <w:multiLevelType w:val="hybridMultilevel"/>
    <w:tmpl w:val="2EA02A8C"/>
    <w:lvl w:ilvl="0" w:tplc="FF26F3B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DAA1FE5"/>
    <w:multiLevelType w:val="hybridMultilevel"/>
    <w:tmpl w:val="787C94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5257C7"/>
    <w:multiLevelType w:val="hybridMultilevel"/>
    <w:tmpl w:val="6B18F3AE"/>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9D53BB"/>
    <w:multiLevelType w:val="hybridMultilevel"/>
    <w:tmpl w:val="D94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634303"/>
    <w:multiLevelType w:val="hybridMultilevel"/>
    <w:tmpl w:val="0C16198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24EDD"/>
    <w:multiLevelType w:val="hybridMultilevel"/>
    <w:tmpl w:val="98C07C14"/>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7031DDD"/>
    <w:multiLevelType w:val="hybridMultilevel"/>
    <w:tmpl w:val="C630B036"/>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70F6AA7"/>
    <w:multiLevelType w:val="hybridMultilevel"/>
    <w:tmpl w:val="EEC8EE7E"/>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6C1B20AE"/>
    <w:multiLevelType w:val="hybridMultilevel"/>
    <w:tmpl w:val="E1145126"/>
    <w:lvl w:ilvl="0" w:tplc="0809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823466A4">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065866"/>
    <w:multiLevelType w:val="hybridMultilevel"/>
    <w:tmpl w:val="BBD67170"/>
    <w:lvl w:ilvl="0" w:tplc="B0FA0B2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F22475F"/>
    <w:multiLevelType w:val="hybridMultilevel"/>
    <w:tmpl w:val="71D8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9751E8"/>
    <w:multiLevelType w:val="hybridMultilevel"/>
    <w:tmpl w:val="2F6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250521"/>
    <w:multiLevelType w:val="hybridMultilevel"/>
    <w:tmpl w:val="B1488AD4"/>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3A12E4"/>
    <w:multiLevelType w:val="hybridMultilevel"/>
    <w:tmpl w:val="E3D611A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167830"/>
    <w:multiLevelType w:val="hybridMultilevel"/>
    <w:tmpl w:val="52D87F8A"/>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69" w15:restartNumberingAfterBreak="0">
    <w:nsid w:val="76637466"/>
    <w:multiLevelType w:val="hybridMultilevel"/>
    <w:tmpl w:val="7886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2C6F15"/>
    <w:multiLevelType w:val="hybridMultilevel"/>
    <w:tmpl w:val="B4E2D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E12547B"/>
    <w:multiLevelType w:val="hybridMultilevel"/>
    <w:tmpl w:val="699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E1C573A"/>
    <w:multiLevelType w:val="hybridMultilevel"/>
    <w:tmpl w:val="108ACD60"/>
    <w:lvl w:ilvl="0" w:tplc="0407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2"/>
  </w:num>
  <w:num w:numId="2">
    <w:abstractNumId w:val="42"/>
  </w:num>
  <w:num w:numId="3">
    <w:abstractNumId w:val="19"/>
  </w:num>
  <w:num w:numId="4">
    <w:abstractNumId w:val="22"/>
  </w:num>
  <w:num w:numId="5">
    <w:abstractNumId w:val="20"/>
  </w:num>
  <w:num w:numId="6">
    <w:abstractNumId w:val="14"/>
  </w:num>
  <w:num w:numId="7">
    <w:abstractNumId w:val="4"/>
  </w:num>
  <w:num w:numId="8">
    <w:abstractNumId w:val="37"/>
  </w:num>
  <w:num w:numId="9">
    <w:abstractNumId w:val="39"/>
  </w:num>
  <w:num w:numId="10">
    <w:abstractNumId w:val="18"/>
  </w:num>
  <w:num w:numId="11">
    <w:abstractNumId w:val="66"/>
  </w:num>
  <w:num w:numId="12">
    <w:abstractNumId w:val="56"/>
  </w:num>
  <w:num w:numId="13">
    <w:abstractNumId w:val="44"/>
  </w:num>
  <w:num w:numId="14">
    <w:abstractNumId w:val="7"/>
  </w:num>
  <w:num w:numId="15">
    <w:abstractNumId w:val="61"/>
  </w:num>
  <w:num w:numId="16">
    <w:abstractNumId w:val="62"/>
  </w:num>
  <w:num w:numId="17">
    <w:abstractNumId w:val="50"/>
  </w:num>
  <w:num w:numId="18">
    <w:abstractNumId w:val="16"/>
  </w:num>
  <w:num w:numId="19">
    <w:abstractNumId w:val="28"/>
  </w:num>
  <w:num w:numId="20">
    <w:abstractNumId w:val="72"/>
  </w:num>
  <w:num w:numId="21">
    <w:abstractNumId w:val="40"/>
  </w:num>
  <w:num w:numId="22">
    <w:abstractNumId w:val="26"/>
  </w:num>
  <w:num w:numId="23">
    <w:abstractNumId w:val="0"/>
  </w:num>
  <w:num w:numId="24">
    <w:abstractNumId w:val="21"/>
  </w:num>
  <w:num w:numId="25">
    <w:abstractNumId w:val="59"/>
  </w:num>
  <w:num w:numId="26">
    <w:abstractNumId w:val="43"/>
  </w:num>
  <w:num w:numId="27">
    <w:abstractNumId w:val="11"/>
  </w:num>
  <w:num w:numId="28">
    <w:abstractNumId w:val="64"/>
  </w:num>
  <w:num w:numId="29">
    <w:abstractNumId w:val="48"/>
  </w:num>
  <w:num w:numId="30">
    <w:abstractNumId w:val="58"/>
  </w:num>
  <w:num w:numId="31">
    <w:abstractNumId w:val="25"/>
  </w:num>
  <w:num w:numId="32">
    <w:abstractNumId w:val="68"/>
  </w:num>
  <w:num w:numId="33">
    <w:abstractNumId w:val="3"/>
  </w:num>
  <w:num w:numId="34">
    <w:abstractNumId w:val="12"/>
  </w:num>
  <w:num w:numId="35">
    <w:abstractNumId w:val="31"/>
  </w:num>
  <w:num w:numId="36">
    <w:abstractNumId w:val="45"/>
  </w:num>
  <w:num w:numId="37">
    <w:abstractNumId w:val="33"/>
  </w:num>
  <w:num w:numId="38">
    <w:abstractNumId w:val="8"/>
  </w:num>
  <w:num w:numId="39">
    <w:abstractNumId w:val="53"/>
  </w:num>
  <w:num w:numId="40">
    <w:abstractNumId w:val="41"/>
  </w:num>
  <w:num w:numId="41">
    <w:abstractNumId w:val="38"/>
  </w:num>
  <w:num w:numId="42">
    <w:abstractNumId w:val="27"/>
  </w:num>
  <w:num w:numId="43">
    <w:abstractNumId w:val="1"/>
  </w:num>
  <w:num w:numId="44">
    <w:abstractNumId w:val="71"/>
  </w:num>
  <w:num w:numId="45">
    <w:abstractNumId w:val="24"/>
  </w:num>
  <w:num w:numId="46">
    <w:abstractNumId w:val="2"/>
  </w:num>
  <w:num w:numId="47">
    <w:abstractNumId w:val="13"/>
  </w:num>
  <w:num w:numId="48">
    <w:abstractNumId w:val="51"/>
  </w:num>
  <w:num w:numId="49">
    <w:abstractNumId w:val="47"/>
  </w:num>
  <w:num w:numId="50">
    <w:abstractNumId w:val="17"/>
  </w:num>
  <w:num w:numId="51">
    <w:abstractNumId w:val="6"/>
  </w:num>
  <w:num w:numId="52">
    <w:abstractNumId w:val="54"/>
  </w:num>
  <w:num w:numId="53">
    <w:abstractNumId w:val="15"/>
  </w:num>
  <w:num w:numId="54">
    <w:abstractNumId w:val="9"/>
  </w:num>
  <w:num w:numId="55">
    <w:abstractNumId w:val="10"/>
  </w:num>
  <w:num w:numId="56">
    <w:abstractNumId w:val="55"/>
  </w:num>
  <w:num w:numId="57">
    <w:abstractNumId w:val="5"/>
  </w:num>
  <w:num w:numId="58">
    <w:abstractNumId w:val="60"/>
  </w:num>
  <w:num w:numId="59">
    <w:abstractNumId w:val="35"/>
  </w:num>
  <w:num w:numId="60">
    <w:abstractNumId w:val="32"/>
  </w:num>
  <w:num w:numId="61">
    <w:abstractNumId w:val="23"/>
  </w:num>
  <w:num w:numId="62">
    <w:abstractNumId w:val="67"/>
  </w:num>
  <w:num w:numId="63">
    <w:abstractNumId w:val="65"/>
  </w:num>
  <w:num w:numId="64">
    <w:abstractNumId w:val="34"/>
  </w:num>
  <w:num w:numId="65">
    <w:abstractNumId w:val="30"/>
  </w:num>
  <w:num w:numId="66">
    <w:abstractNumId w:val="29"/>
  </w:num>
  <w:num w:numId="67">
    <w:abstractNumId w:val="57"/>
  </w:num>
  <w:num w:numId="68">
    <w:abstractNumId w:val="36"/>
  </w:num>
  <w:num w:numId="69">
    <w:abstractNumId w:val="69"/>
  </w:num>
  <w:num w:numId="70">
    <w:abstractNumId w:val="46"/>
  </w:num>
  <w:num w:numId="71">
    <w:abstractNumId w:val="63"/>
  </w:num>
  <w:num w:numId="72">
    <w:abstractNumId w:val="70"/>
  </w:num>
  <w:num w:numId="7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471E116-BD1D-4807-80A5-C04F428D4AB7"/>
    <w:docVar w:name="LW_COVERPAGE_TYPE" w:val="1"/>
    <w:docVar w:name="LW_CROSSREFERENCE" w:val="&lt;UNUSED&gt;"/>
    <w:docVar w:name="LW_DocType" w:val="NORMAL"/>
    <w:docVar w:name="LW_EMISSION" w:val="6.3.2019"/>
    <w:docVar w:name="LW_EMISSION_ISODATE" w:val="2019-03-06"/>
    <w:docVar w:name="LW_EMISSION_LOCATION" w:val="BRX"/>
    <w:docVar w:name="LW_EMISSION_PREFIX" w:val="Bruselj,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1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oro\u269?ilo o napredku pri izvajanju evropske agende o migracijah"/>
    <w:docVar w:name="LW_TYPE.DOC.CP" w:val="SPORO\u268?ILO KOMISIJE"/>
    <w:docVar w:name="LW_TYPE.DOC.CP.USERTEXT" w:val="EVROPSKEMU PARLAMENTU, EVROPSKEMU SVETU IN SVETU"/>
  </w:docVars>
  <w:rsids>
    <w:rsidRoot w:val="00117FA4"/>
    <w:rsid w:val="00117FA4"/>
    <w:rsid w:val="00A544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5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tabs>
        <w:tab w:val="num" w:pos="480"/>
      </w:tabs>
      <w:spacing w:before="240" w:after="240"/>
      <w:ind w:left="480" w:hanging="48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tabs>
        <w:tab w:val="num" w:pos="1200"/>
      </w:tabs>
      <w:spacing w:after="240"/>
      <w:ind w:left="1200" w:hanging="720"/>
      <w:jc w:val="both"/>
      <w:outlineLvl w:val="1"/>
    </w:pPr>
    <w:rPr>
      <w:rFonts w:ascii="Times New Roman" w:hAnsi="Times New Roman"/>
      <w:b/>
      <w:sz w:val="24"/>
      <w:szCs w:val="20"/>
    </w:rPr>
  </w:style>
  <w:style w:type="paragraph" w:styleId="Heading3">
    <w:name w:val="heading 3"/>
    <w:basedOn w:val="Normal"/>
    <w:next w:val="Normal"/>
    <w:link w:val="Heading3Char"/>
    <w:qFormat/>
    <w:pPr>
      <w:keepNext/>
      <w:tabs>
        <w:tab w:val="num" w:pos="1920"/>
      </w:tabs>
      <w:spacing w:after="240"/>
      <w:ind w:left="1920" w:hanging="720"/>
      <w:jc w:val="both"/>
      <w:outlineLvl w:val="2"/>
    </w:pPr>
    <w:rPr>
      <w:rFonts w:ascii="Times New Roman" w:hAnsi="Times New Roman"/>
      <w:i/>
      <w:sz w:val="24"/>
      <w:szCs w:val="20"/>
    </w:rPr>
  </w:style>
  <w:style w:type="paragraph" w:styleId="Heading4">
    <w:name w:val="heading 4"/>
    <w:basedOn w:val="Normal"/>
    <w:next w:val="Normal"/>
    <w:link w:val="Heading4Char"/>
    <w:qFormat/>
    <w:pPr>
      <w:keepNext/>
      <w:tabs>
        <w:tab w:val="num" w:pos="1920"/>
      </w:tabs>
      <w:spacing w:after="240"/>
      <w:ind w:left="1920" w:hanging="720"/>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Ref"/>
    <w:basedOn w:val="DefaultParagraphFont"/>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sl-SI"/>
    </w:rPr>
  </w:style>
  <w:style w:type="table" w:customStyle="1" w:styleId="Calendar2">
    <w:name w:val="Calendar 2"/>
    <w:basedOn w:val="TableNormal"/>
    <w:uiPriority w:val="99"/>
    <w:qFormat/>
    <w:pPr>
      <w:spacing w:after="0" w:line="240" w:lineRule="auto"/>
      <w:jc w:val="center"/>
    </w:pPr>
    <w:rPr>
      <w:rFonts w:eastAsiaTheme="minorEastAsia"/>
      <w:sz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ISAAHeading3">
    <w:name w:val="ISAA_Heading_3"/>
    <w:basedOn w:val="Heading2"/>
    <w:next w:val="ISAANormal"/>
    <w:autoRedefine/>
    <w:qFormat/>
    <w:pPr>
      <w:tabs>
        <w:tab w:val="clear" w:pos="1200"/>
      </w:tabs>
      <w:spacing w:before="120" w:after="120"/>
      <w:ind w:left="1985" w:hanging="1985"/>
      <w:jc w:val="left"/>
    </w:pPr>
    <w:rPr>
      <w:rFonts w:ascii="EC Square Sans Pro" w:hAnsi="EC Square Sans Pro"/>
      <w:i/>
      <w:noProof/>
      <w:sz w:val="20"/>
    </w:rPr>
  </w:style>
  <w:style w:type="paragraph" w:customStyle="1" w:styleId="Text1">
    <w:name w:val="Text 1"/>
    <w:basedOn w:val="Normal"/>
    <w:pPr>
      <w:spacing w:after="240"/>
      <w:ind w:left="482"/>
      <w:jc w:val="both"/>
    </w:pPr>
    <w:rPr>
      <w:rFonts w:ascii="Times New Roman" w:hAnsi="Times New Roman"/>
      <w:sz w:val="24"/>
      <w:szCs w:val="20"/>
    </w:rPr>
  </w:style>
  <w:style w:type="paragraph" w:styleId="ListBullet">
    <w:name w:val="List Bullet"/>
    <w:basedOn w:val="Normal"/>
    <w:uiPriority w:val="99"/>
    <w:unhideWhenUsed/>
    <w:pPr>
      <w:ind w:left="283" w:hanging="283"/>
    </w:pPr>
    <w:rPr>
      <w:rFonts w:ascii="Times New Roman" w:eastAsiaTheme="minorHAnsi" w:hAnsi="Times New Roman"/>
      <w:sz w:val="24"/>
      <w:szCs w:val="24"/>
    </w:rPr>
  </w:style>
  <w:style w:type="paragraph" w:customStyle="1" w:styleId="Briefingtext">
    <w:name w:val="Briefing text"/>
    <w:basedOn w:val="Normal"/>
    <w:link w:val="BriefingtextChar"/>
    <w:qFormat/>
    <w:pPr>
      <w:spacing w:after="240"/>
      <w:jc w:val="both"/>
    </w:pPr>
    <w:rPr>
      <w:rFonts w:ascii="Arial" w:hAnsi="Arial" w:cs="Arial"/>
      <w:szCs w:val="24"/>
    </w:rPr>
  </w:style>
  <w:style w:type="character" w:customStyle="1" w:styleId="BriefingtextChar">
    <w:name w:val="Briefing text Char"/>
    <w:link w:val="Briefingtext"/>
    <w:rPr>
      <w:rFonts w:ascii="Arial" w:eastAsia="Times New Roman" w:hAnsi="Arial" w:cs="Arial"/>
      <w:szCs w:val="24"/>
    </w:rPr>
  </w:style>
  <w:style w:type="character" w:customStyle="1" w:styleId="Corpsdutexte3NonGras">
    <w:name w:val="Corps du texte (3) + Non Gras"/>
    <w:uiPriority w:val="99"/>
    <w:rPr>
      <w:b w:val="0"/>
      <w:bCs w:val="0"/>
      <w:sz w:val="30"/>
      <w:szCs w:val="30"/>
      <w:shd w:val="clear" w:color="auto" w:fill="FFFFFF"/>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styleId="Strong">
    <w:name w:val="Strong"/>
    <w:basedOn w:val="DefaultParagraphFont"/>
    <w:uiPriority w:val="22"/>
    <w:qFormat/>
    <w:rPr>
      <w:rFonts w:ascii="Times New Roman" w:hAnsi="Times New Roman" w:cs="Times New Roman" w:hint="default"/>
      <w:b/>
      <w:bCs/>
    </w:rPr>
  </w:style>
  <w:style w:type="paragraph" w:styleId="NormalWeb">
    <w:name w:val="Normal (Web)"/>
    <w:basedOn w:val="Normal"/>
    <w:uiPriority w:val="99"/>
    <w:semiHidden/>
    <w:unhideWhenUse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98069596">
      <w:bodyDiv w:val="1"/>
      <w:marLeft w:val="0"/>
      <w:marRight w:val="0"/>
      <w:marTop w:val="0"/>
      <w:marBottom w:val="0"/>
      <w:divBdr>
        <w:top w:val="none" w:sz="0" w:space="0" w:color="auto"/>
        <w:left w:val="none" w:sz="0" w:space="0" w:color="auto"/>
        <w:bottom w:val="none" w:sz="0" w:space="0" w:color="auto"/>
        <w:right w:val="none" w:sz="0" w:space="0" w:color="auto"/>
      </w:divBdr>
    </w:div>
    <w:div w:id="102187951">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6425927">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392120320">
      <w:bodyDiv w:val="1"/>
      <w:marLeft w:val="0"/>
      <w:marRight w:val="0"/>
      <w:marTop w:val="0"/>
      <w:marBottom w:val="0"/>
      <w:divBdr>
        <w:top w:val="none" w:sz="0" w:space="0" w:color="auto"/>
        <w:left w:val="none" w:sz="0" w:space="0" w:color="auto"/>
        <w:bottom w:val="none" w:sz="0" w:space="0" w:color="auto"/>
        <w:right w:val="none" w:sz="0" w:space="0" w:color="auto"/>
      </w:divBdr>
    </w:div>
    <w:div w:id="464275734">
      <w:bodyDiv w:val="1"/>
      <w:marLeft w:val="0"/>
      <w:marRight w:val="0"/>
      <w:marTop w:val="0"/>
      <w:marBottom w:val="0"/>
      <w:divBdr>
        <w:top w:val="none" w:sz="0" w:space="0" w:color="auto"/>
        <w:left w:val="none" w:sz="0" w:space="0" w:color="auto"/>
        <w:bottom w:val="none" w:sz="0" w:space="0" w:color="auto"/>
        <w:right w:val="none" w:sz="0" w:space="0" w:color="auto"/>
      </w:divBdr>
    </w:div>
    <w:div w:id="494226678">
      <w:bodyDiv w:val="1"/>
      <w:marLeft w:val="0"/>
      <w:marRight w:val="0"/>
      <w:marTop w:val="0"/>
      <w:marBottom w:val="0"/>
      <w:divBdr>
        <w:top w:val="none" w:sz="0" w:space="0" w:color="auto"/>
        <w:left w:val="none" w:sz="0" w:space="0" w:color="auto"/>
        <w:bottom w:val="none" w:sz="0" w:space="0" w:color="auto"/>
        <w:right w:val="none" w:sz="0" w:space="0" w:color="auto"/>
      </w:divBdr>
    </w:div>
    <w:div w:id="575624733">
      <w:bodyDiv w:val="1"/>
      <w:marLeft w:val="0"/>
      <w:marRight w:val="0"/>
      <w:marTop w:val="0"/>
      <w:marBottom w:val="0"/>
      <w:divBdr>
        <w:top w:val="none" w:sz="0" w:space="0" w:color="auto"/>
        <w:left w:val="none" w:sz="0" w:space="0" w:color="auto"/>
        <w:bottom w:val="none" w:sz="0" w:space="0" w:color="auto"/>
        <w:right w:val="none" w:sz="0" w:space="0" w:color="auto"/>
      </w:divBdr>
    </w:div>
    <w:div w:id="586882702">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017">
      <w:bodyDiv w:val="1"/>
      <w:marLeft w:val="0"/>
      <w:marRight w:val="0"/>
      <w:marTop w:val="0"/>
      <w:marBottom w:val="0"/>
      <w:divBdr>
        <w:top w:val="none" w:sz="0" w:space="0" w:color="auto"/>
        <w:left w:val="none" w:sz="0" w:space="0" w:color="auto"/>
        <w:bottom w:val="none" w:sz="0" w:space="0" w:color="auto"/>
        <w:right w:val="none" w:sz="0" w:space="0" w:color="auto"/>
      </w:divBdr>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747578275">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981808517">
      <w:bodyDiv w:val="1"/>
      <w:marLeft w:val="0"/>
      <w:marRight w:val="0"/>
      <w:marTop w:val="0"/>
      <w:marBottom w:val="0"/>
      <w:divBdr>
        <w:top w:val="none" w:sz="0" w:space="0" w:color="auto"/>
        <w:left w:val="none" w:sz="0" w:space="0" w:color="auto"/>
        <w:bottom w:val="none" w:sz="0" w:space="0" w:color="auto"/>
        <w:right w:val="none" w:sz="0" w:space="0" w:color="auto"/>
      </w:divBdr>
    </w:div>
    <w:div w:id="985934808">
      <w:bodyDiv w:val="1"/>
      <w:marLeft w:val="0"/>
      <w:marRight w:val="0"/>
      <w:marTop w:val="0"/>
      <w:marBottom w:val="0"/>
      <w:divBdr>
        <w:top w:val="none" w:sz="0" w:space="0" w:color="auto"/>
        <w:left w:val="none" w:sz="0" w:space="0" w:color="auto"/>
        <w:bottom w:val="none" w:sz="0" w:space="0" w:color="auto"/>
        <w:right w:val="none" w:sz="0" w:space="0" w:color="auto"/>
      </w:divBdr>
    </w:div>
    <w:div w:id="991711273">
      <w:bodyDiv w:val="1"/>
      <w:marLeft w:val="0"/>
      <w:marRight w:val="0"/>
      <w:marTop w:val="0"/>
      <w:marBottom w:val="0"/>
      <w:divBdr>
        <w:top w:val="none" w:sz="0" w:space="0" w:color="auto"/>
        <w:left w:val="none" w:sz="0" w:space="0" w:color="auto"/>
        <w:bottom w:val="none" w:sz="0" w:space="0" w:color="auto"/>
        <w:right w:val="none" w:sz="0" w:space="0" w:color="auto"/>
      </w:divBdr>
    </w:div>
    <w:div w:id="1064721757">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01801491">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471098388">
      <w:bodyDiv w:val="1"/>
      <w:marLeft w:val="0"/>
      <w:marRight w:val="0"/>
      <w:marTop w:val="0"/>
      <w:marBottom w:val="0"/>
      <w:divBdr>
        <w:top w:val="none" w:sz="0" w:space="0" w:color="auto"/>
        <w:left w:val="none" w:sz="0" w:space="0" w:color="auto"/>
        <w:bottom w:val="none" w:sz="0" w:space="0" w:color="auto"/>
        <w:right w:val="none" w:sz="0" w:space="0" w:color="auto"/>
      </w:divBdr>
    </w:div>
    <w:div w:id="1522428672">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556890650">
      <w:bodyDiv w:val="1"/>
      <w:marLeft w:val="0"/>
      <w:marRight w:val="0"/>
      <w:marTop w:val="0"/>
      <w:marBottom w:val="0"/>
      <w:divBdr>
        <w:top w:val="none" w:sz="0" w:space="0" w:color="auto"/>
        <w:left w:val="none" w:sz="0" w:space="0" w:color="auto"/>
        <w:bottom w:val="none" w:sz="0" w:space="0" w:color="auto"/>
        <w:right w:val="none" w:sz="0" w:space="0" w:color="auto"/>
      </w:divBdr>
    </w:div>
    <w:div w:id="1622228930">
      <w:bodyDiv w:val="1"/>
      <w:marLeft w:val="0"/>
      <w:marRight w:val="0"/>
      <w:marTop w:val="0"/>
      <w:marBottom w:val="0"/>
      <w:divBdr>
        <w:top w:val="none" w:sz="0" w:space="0" w:color="auto"/>
        <w:left w:val="none" w:sz="0" w:space="0" w:color="auto"/>
        <w:bottom w:val="none" w:sz="0" w:space="0" w:color="auto"/>
        <w:right w:val="none" w:sz="0" w:space="0" w:color="auto"/>
      </w:divBdr>
    </w:div>
    <w:div w:id="1633486310">
      <w:bodyDiv w:val="1"/>
      <w:marLeft w:val="0"/>
      <w:marRight w:val="0"/>
      <w:marTop w:val="0"/>
      <w:marBottom w:val="0"/>
      <w:divBdr>
        <w:top w:val="none" w:sz="0" w:space="0" w:color="auto"/>
        <w:left w:val="none" w:sz="0" w:space="0" w:color="auto"/>
        <w:bottom w:val="none" w:sz="0" w:space="0" w:color="auto"/>
        <w:right w:val="none" w:sz="0" w:space="0" w:color="auto"/>
      </w:divBdr>
    </w:div>
    <w:div w:id="1657227854">
      <w:bodyDiv w:val="1"/>
      <w:marLeft w:val="0"/>
      <w:marRight w:val="0"/>
      <w:marTop w:val="0"/>
      <w:marBottom w:val="0"/>
      <w:divBdr>
        <w:top w:val="none" w:sz="0" w:space="0" w:color="auto"/>
        <w:left w:val="none" w:sz="0" w:space="0" w:color="auto"/>
        <w:bottom w:val="none" w:sz="0" w:space="0" w:color="auto"/>
        <w:right w:val="none" w:sz="0" w:space="0" w:color="auto"/>
      </w:divBdr>
    </w:div>
    <w:div w:id="1669167390">
      <w:bodyDiv w:val="1"/>
      <w:marLeft w:val="0"/>
      <w:marRight w:val="0"/>
      <w:marTop w:val="0"/>
      <w:marBottom w:val="0"/>
      <w:divBdr>
        <w:top w:val="none" w:sz="0" w:space="0" w:color="auto"/>
        <w:left w:val="none" w:sz="0" w:space="0" w:color="auto"/>
        <w:bottom w:val="none" w:sz="0" w:space="0" w:color="auto"/>
        <w:right w:val="none" w:sz="0" w:space="0" w:color="auto"/>
      </w:divBdr>
      <w:divsChild>
        <w:div w:id="335573264">
          <w:marLeft w:val="1166"/>
          <w:marRight w:val="0"/>
          <w:marTop w:val="67"/>
          <w:marBottom w:val="0"/>
          <w:divBdr>
            <w:top w:val="none" w:sz="0" w:space="0" w:color="auto"/>
            <w:left w:val="none" w:sz="0" w:space="0" w:color="auto"/>
            <w:bottom w:val="none" w:sz="0" w:space="0" w:color="auto"/>
            <w:right w:val="none" w:sz="0" w:space="0" w:color="auto"/>
          </w:divBdr>
        </w:div>
        <w:div w:id="918297041">
          <w:marLeft w:val="1166"/>
          <w:marRight w:val="0"/>
          <w:marTop w:val="67"/>
          <w:marBottom w:val="0"/>
          <w:divBdr>
            <w:top w:val="none" w:sz="0" w:space="0" w:color="auto"/>
            <w:left w:val="none" w:sz="0" w:space="0" w:color="auto"/>
            <w:bottom w:val="none" w:sz="0" w:space="0" w:color="auto"/>
            <w:right w:val="none" w:sz="0" w:space="0" w:color="auto"/>
          </w:divBdr>
        </w:div>
        <w:div w:id="1047606675">
          <w:marLeft w:val="1166"/>
          <w:marRight w:val="0"/>
          <w:marTop w:val="67"/>
          <w:marBottom w:val="0"/>
          <w:divBdr>
            <w:top w:val="none" w:sz="0" w:space="0" w:color="auto"/>
            <w:left w:val="none" w:sz="0" w:space="0" w:color="auto"/>
            <w:bottom w:val="none" w:sz="0" w:space="0" w:color="auto"/>
            <w:right w:val="none" w:sz="0" w:space="0" w:color="auto"/>
          </w:divBdr>
        </w:div>
        <w:div w:id="1065641060">
          <w:marLeft w:val="1166"/>
          <w:marRight w:val="0"/>
          <w:marTop w:val="67"/>
          <w:marBottom w:val="0"/>
          <w:divBdr>
            <w:top w:val="none" w:sz="0" w:space="0" w:color="auto"/>
            <w:left w:val="none" w:sz="0" w:space="0" w:color="auto"/>
            <w:bottom w:val="none" w:sz="0" w:space="0" w:color="auto"/>
            <w:right w:val="none" w:sz="0" w:space="0" w:color="auto"/>
          </w:divBdr>
        </w:div>
        <w:div w:id="1513106917">
          <w:marLeft w:val="1166"/>
          <w:marRight w:val="0"/>
          <w:marTop w:val="67"/>
          <w:marBottom w:val="0"/>
          <w:divBdr>
            <w:top w:val="none" w:sz="0" w:space="0" w:color="auto"/>
            <w:left w:val="none" w:sz="0" w:space="0" w:color="auto"/>
            <w:bottom w:val="none" w:sz="0" w:space="0" w:color="auto"/>
            <w:right w:val="none" w:sz="0" w:space="0" w:color="auto"/>
          </w:divBdr>
        </w:div>
      </w:divsChild>
    </w:div>
    <w:div w:id="1697539924">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12025362">
      <w:bodyDiv w:val="1"/>
      <w:marLeft w:val="0"/>
      <w:marRight w:val="0"/>
      <w:marTop w:val="0"/>
      <w:marBottom w:val="0"/>
      <w:divBdr>
        <w:top w:val="none" w:sz="0" w:space="0" w:color="auto"/>
        <w:left w:val="none" w:sz="0" w:space="0" w:color="auto"/>
        <w:bottom w:val="none" w:sz="0" w:space="0" w:color="auto"/>
        <w:right w:val="none" w:sz="0" w:space="0" w:color="auto"/>
      </w:divBdr>
    </w:div>
    <w:div w:id="1746299830">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75325093">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860583864">
      <w:bodyDiv w:val="1"/>
      <w:marLeft w:val="0"/>
      <w:marRight w:val="0"/>
      <w:marTop w:val="0"/>
      <w:marBottom w:val="0"/>
      <w:divBdr>
        <w:top w:val="none" w:sz="0" w:space="0" w:color="auto"/>
        <w:left w:val="none" w:sz="0" w:space="0" w:color="auto"/>
        <w:bottom w:val="none" w:sz="0" w:space="0" w:color="auto"/>
        <w:right w:val="none" w:sz="0" w:space="0" w:color="auto"/>
      </w:divBdr>
    </w:div>
    <w:div w:id="1905484172">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48809239">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1978610293">
      <w:bodyDiv w:val="1"/>
      <w:marLeft w:val="0"/>
      <w:marRight w:val="0"/>
      <w:marTop w:val="0"/>
      <w:marBottom w:val="0"/>
      <w:divBdr>
        <w:top w:val="none" w:sz="0" w:space="0" w:color="auto"/>
        <w:left w:val="none" w:sz="0" w:space="0" w:color="auto"/>
        <w:bottom w:val="none" w:sz="0" w:space="0" w:color="auto"/>
        <w:right w:val="none" w:sz="0" w:space="0" w:color="auto"/>
      </w:divBdr>
    </w:div>
    <w:div w:id="1993899586">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21735325">
      <w:bodyDiv w:val="1"/>
      <w:marLeft w:val="0"/>
      <w:marRight w:val="0"/>
      <w:marTop w:val="0"/>
      <w:marBottom w:val="0"/>
      <w:divBdr>
        <w:top w:val="none" w:sz="0" w:space="0" w:color="auto"/>
        <w:left w:val="none" w:sz="0" w:space="0" w:color="auto"/>
        <w:bottom w:val="none" w:sz="0" w:space="0" w:color="auto"/>
        <w:right w:val="none" w:sz="0" w:space="0" w:color="auto"/>
      </w:divBdr>
      <w:divsChild>
        <w:div w:id="148711203">
          <w:marLeft w:val="0"/>
          <w:marRight w:val="0"/>
          <w:marTop w:val="0"/>
          <w:marBottom w:val="0"/>
          <w:divBdr>
            <w:top w:val="none" w:sz="0" w:space="0" w:color="auto"/>
            <w:left w:val="none" w:sz="0" w:space="0" w:color="auto"/>
            <w:bottom w:val="none" w:sz="0" w:space="0" w:color="auto"/>
            <w:right w:val="none" w:sz="0" w:space="0" w:color="auto"/>
          </w:divBdr>
        </w:div>
        <w:div w:id="222062079">
          <w:marLeft w:val="0"/>
          <w:marRight w:val="0"/>
          <w:marTop w:val="0"/>
          <w:marBottom w:val="0"/>
          <w:divBdr>
            <w:top w:val="none" w:sz="0" w:space="0" w:color="auto"/>
            <w:left w:val="none" w:sz="0" w:space="0" w:color="auto"/>
            <w:bottom w:val="none" w:sz="0" w:space="0" w:color="auto"/>
            <w:right w:val="none" w:sz="0" w:space="0" w:color="auto"/>
          </w:divBdr>
        </w:div>
        <w:div w:id="1928076199">
          <w:marLeft w:val="0"/>
          <w:marRight w:val="0"/>
          <w:marTop w:val="0"/>
          <w:marBottom w:val="0"/>
          <w:divBdr>
            <w:top w:val="none" w:sz="0" w:space="0" w:color="auto"/>
            <w:left w:val="none" w:sz="0" w:space="0" w:color="auto"/>
            <w:bottom w:val="none" w:sz="0" w:space="0" w:color="auto"/>
            <w:right w:val="none" w:sz="0" w:space="0" w:color="auto"/>
          </w:divBdr>
        </w:div>
        <w:div w:id="2020349116">
          <w:marLeft w:val="0"/>
          <w:marRight w:val="0"/>
          <w:marTop w:val="0"/>
          <w:marBottom w:val="0"/>
          <w:divBdr>
            <w:top w:val="none" w:sz="0" w:space="0" w:color="auto"/>
            <w:left w:val="none" w:sz="0" w:space="0" w:color="auto"/>
            <w:bottom w:val="none" w:sz="0" w:space="0" w:color="auto"/>
            <w:right w:val="none" w:sz="0" w:space="0" w:color="auto"/>
          </w:divBdr>
        </w:div>
      </w:divsChild>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097360962">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5A9BD9-0764-4410-B281-E8380F41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7616</Words>
  <Characters>43950</Characters>
  <Application>Microsoft Office Word</Application>
  <DocSecurity>0</DocSecurity>
  <Lines>732</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2019-03-12T08:06:00Z</dcterms:created>
  <dcterms:modified xsi:type="dcterms:W3CDTF">2019-03-12T15:39:00Z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