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C9C" w:rsidRDefault="003F26D7">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7DA2FA8-A6DF-41AD-98A8-55777E2C7585" style="width:450.75pt;height:320.25pt">
            <v:imagedata r:id="rId8" o:title=""/>
          </v:shape>
        </w:pict>
      </w:r>
    </w:p>
    <w:bookmarkEnd w:id="0"/>
    <w:p w:rsidR="00835C9C" w:rsidRDefault="00835C9C">
      <w:pPr>
        <w:rPr>
          <w:noProof/>
        </w:rPr>
        <w:sectPr w:rsidR="00835C9C">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26"/>
        </w:sectPr>
      </w:pPr>
    </w:p>
    <w:p w:rsidR="00835C9C" w:rsidRDefault="003F26D7">
      <w:pPr>
        <w:pStyle w:val="ListParagraph"/>
        <w:numPr>
          <w:ilvl w:val="0"/>
          <w:numId w:val="2"/>
        </w:numPr>
        <w:jc w:val="both"/>
        <w:rPr>
          <w:rFonts w:ascii="Times New Roman" w:hAnsi="Times New Roman"/>
          <w:b/>
          <w:noProof/>
          <w:sz w:val="24"/>
          <w:szCs w:val="24"/>
        </w:rPr>
      </w:pPr>
      <w:r>
        <w:rPr>
          <w:rFonts w:ascii="Times New Roman" w:hAnsi="Times New Roman"/>
          <w:b/>
          <w:noProof/>
          <w:sz w:val="24"/>
        </w:rPr>
        <w:lastRenderedPageBreak/>
        <w:t>ΕΙΣΑΓΩΓΗ</w:t>
      </w:r>
    </w:p>
    <w:p w:rsidR="00835C9C" w:rsidRDefault="00835C9C">
      <w:pPr>
        <w:jc w:val="both"/>
        <w:rPr>
          <w:rFonts w:ascii="Times New Roman" w:hAnsi="Times New Roman"/>
          <w:b/>
          <w:noProof/>
          <w:color w:val="000000"/>
          <w:sz w:val="24"/>
          <w:szCs w:val="24"/>
        </w:rPr>
      </w:pPr>
    </w:p>
    <w:p w:rsidR="00835C9C" w:rsidRDefault="003F26D7">
      <w:pPr>
        <w:jc w:val="both"/>
        <w:rPr>
          <w:rFonts w:ascii="Times New Roman" w:hAnsi="Times New Roman"/>
          <w:noProof/>
          <w:color w:val="000000"/>
          <w:sz w:val="24"/>
          <w:szCs w:val="24"/>
        </w:rPr>
      </w:pPr>
      <w:r>
        <w:rPr>
          <w:rFonts w:ascii="Times New Roman" w:hAnsi="Times New Roman"/>
          <w:noProof/>
          <w:color w:val="000000"/>
          <w:sz w:val="24"/>
        </w:rPr>
        <w:t>Τα τελευταία τέσσερα έτη η ΕΕ έχει καταβάλει πρωτοφανείς προσπάθειες για την αντιμετώπιση του προβλήματος της μετανάστευσης, οι οποίες έχουν συμβάλει στη μείωση των παράτυπων αφίξεων στο χαμηλότερο επίπεδο των τελευταίων 5 ετών. Η ΕΕ έχει προσφέρει προστασ</w:t>
      </w:r>
      <w:r>
        <w:rPr>
          <w:rFonts w:ascii="Times New Roman" w:hAnsi="Times New Roman"/>
          <w:noProof/>
          <w:color w:val="000000"/>
          <w:sz w:val="24"/>
        </w:rPr>
        <w:t>ία και στήριξη σε εκατομμύρια ανθρώπους, σώζοντας ζωές στη θάλασσα και βελτιώνοντας τις συνθήκες ζωής και τα μέσα διαβίωσης. Έχει παράσχει στήριξη στα κράτη μέλη για τη διαχείριση μεγάλου αριθμού αφίξεων στα εξωτερικά τους σύνορα και έχει χρηματοδοτήσει πο</w:t>
      </w:r>
      <w:r>
        <w:rPr>
          <w:rFonts w:ascii="Times New Roman" w:hAnsi="Times New Roman"/>
          <w:noProof/>
          <w:color w:val="000000"/>
          <w:sz w:val="24"/>
        </w:rPr>
        <w:t xml:space="preserve">λυάριθμα έργα σε ολόκληρη την ΕΕ για την υποστήριξη της ένταξης των προσφύγων και </w:t>
      </w:r>
      <w:r>
        <w:rPr>
          <w:rFonts w:ascii="Times New Roman" w:hAnsi="Times New Roman"/>
          <w:noProof/>
          <w:sz w:val="24"/>
        </w:rPr>
        <w:t>άλλων νομίμως διαμενόντων υπηκόων τρίτων χωρών. Έχει συμβάλει στην πρόληψη της παράτυπης μετανάστευσης μεταξύ άλλων με την καταπολέμηση των δικτύων λαθραίας διακίνησης, καθώς</w:t>
      </w:r>
      <w:r>
        <w:rPr>
          <w:rFonts w:ascii="Times New Roman" w:hAnsi="Times New Roman"/>
          <w:noProof/>
          <w:sz w:val="24"/>
        </w:rPr>
        <w:t xml:space="preserve"> και με την πάταξη της εμπορίας ανθρώπων. Έχει </w:t>
      </w:r>
      <w:r>
        <w:rPr>
          <w:rFonts w:ascii="Times New Roman" w:hAnsi="Times New Roman"/>
          <w:noProof/>
          <w:color w:val="000000"/>
          <w:sz w:val="24"/>
        </w:rPr>
        <w:t>συνεργαστεί με εταίρους από ολόκληρο τον κόσμο για την αντιμετώπιση των βαθύτερων αιτίων και για την προώθηση της ομαλής διαχείρισης της μετανάστευσης, συμπεριλαμβανομένης της επανεισδοχής μεταναστών που διαμέ</w:t>
      </w:r>
      <w:r>
        <w:rPr>
          <w:rFonts w:ascii="Times New Roman" w:hAnsi="Times New Roman"/>
          <w:noProof/>
          <w:color w:val="000000"/>
          <w:sz w:val="24"/>
        </w:rPr>
        <w:t>νουν παράτυπα στην ΕΕ. Έχει προσπαθήσει να αναπτύξει νόμιμες οδούς ως εναλλακτικές λύσεις αντί των επικίνδυνων διαδρομών της λαθραίας διακίνησης. Εν προκειμένω, όλες οι πτυχές του ευρωπαϊκού προγράμματος δράσης για τη μετανάστευση του 2015</w:t>
      </w:r>
      <w:r>
        <w:rPr>
          <w:rStyle w:val="FootnoteReference"/>
          <w:rFonts w:ascii="Times New Roman" w:hAnsi="Times New Roman"/>
          <w:noProof/>
          <w:color w:val="000000"/>
          <w:sz w:val="24"/>
        </w:rPr>
        <w:footnoteReference w:id="2"/>
      </w:r>
      <w:r>
        <w:rPr>
          <w:rFonts w:ascii="Times New Roman" w:hAnsi="Times New Roman"/>
          <w:noProof/>
          <w:color w:val="000000"/>
          <w:sz w:val="24"/>
        </w:rPr>
        <w:t xml:space="preserve"> έχουν προωθηθεί</w:t>
      </w:r>
      <w:r>
        <w:rPr>
          <w:rFonts w:ascii="Times New Roman" w:hAnsi="Times New Roman"/>
          <w:noProof/>
          <w:color w:val="000000"/>
          <w:sz w:val="24"/>
        </w:rPr>
        <w:t xml:space="preserve"> στο πλαίσιο μιας ολοκληρωμένης προσέγγισης.</w:t>
      </w:r>
    </w:p>
    <w:p w:rsidR="00835C9C" w:rsidRDefault="00835C9C">
      <w:pPr>
        <w:jc w:val="both"/>
        <w:rPr>
          <w:rFonts w:ascii="Times New Roman" w:hAnsi="Times New Roman"/>
          <w:noProof/>
          <w:color w:val="000000"/>
          <w:sz w:val="24"/>
          <w:szCs w:val="24"/>
        </w:rPr>
      </w:pPr>
    </w:p>
    <w:tbl>
      <w:tblPr>
        <w:tblStyle w:val="TableGrid"/>
        <w:tblW w:w="0" w:type="auto"/>
        <w:tblLook w:val="04A0" w:firstRow="1" w:lastRow="0" w:firstColumn="1" w:lastColumn="0" w:noHBand="0" w:noVBand="1"/>
      </w:tblPr>
      <w:tblGrid>
        <w:gridCol w:w="9286"/>
      </w:tblGrid>
      <w:tr w:rsidR="00835C9C">
        <w:tc>
          <w:tcPr>
            <w:tcW w:w="9286" w:type="dxa"/>
            <w:tcBorders>
              <w:top w:val="nil"/>
              <w:left w:val="nil"/>
              <w:bottom w:val="nil"/>
              <w:right w:val="nil"/>
            </w:tcBorders>
          </w:tcPr>
          <w:p w:rsidR="00835C9C" w:rsidRDefault="003F26D7">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Βασικά σημεία προόδου του ευρωπαϊκού προγράμματος δράσης για τη μετανάστευση</w:t>
            </w:r>
          </w:p>
          <w:p w:rsidR="00835C9C" w:rsidRDefault="003F26D7">
            <w:pPr>
              <w:pStyle w:val="ListParagraph"/>
              <w:numPr>
                <w:ilvl w:val="0"/>
                <w:numId w:val="1"/>
              </w:numP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Το 2018, εντοπίστηκαν περίπου 150 000 παράτυπες αφίξεις σε όλα τα εξωτερικά σύνορα της ΕΕ, αριθμός που αντιστοιχεί σε μείωση της τάξης του 25 % σε σύγκριση με το 2017. Πρόκειται για το χαμηλότερο ποσοστό που έχει καταγραφεί την τελευταία πενταετία και συνι</w:t>
            </w:r>
            <w:r>
              <w:rPr>
                <w:rFonts w:ascii="Times New Roman" w:hAnsi="Times New Roman"/>
                <w:noProof/>
                <w:color w:val="000000"/>
                <w:sz w:val="24"/>
              </w:rPr>
              <w:t xml:space="preserve">στά μείωση μεγαλύτερη του 90 % από το έτος κορύφωσης της μεταναστευτικής κρίσης, το 2015. </w:t>
            </w:r>
          </w:p>
          <w:p w:rsidR="00835C9C" w:rsidRDefault="003F26D7">
            <w:pPr>
              <w:pStyle w:val="ListParagraph"/>
              <w:numPr>
                <w:ilvl w:val="0"/>
                <w:numId w:val="1"/>
              </w:numP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Η δράση της ΕΕ έχει συμβάλει σε σχεδόν 730 000 διασώσεις στη θάλασσα από το 2015.</w:t>
            </w:r>
          </w:p>
          <w:p w:rsidR="00835C9C" w:rsidRDefault="003F26D7">
            <w:pPr>
              <w:pStyle w:val="ListParagraph"/>
              <w:numPr>
                <w:ilvl w:val="0"/>
                <w:numId w:val="1"/>
              </w:numP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Εκατομμύρια αιτούντες άσυλο, πρόσφυγες και εκτοπισθέντες έχουν επωφεληθεί από προγρ</w:t>
            </w:r>
            <w:r>
              <w:rPr>
                <w:rFonts w:ascii="Times New Roman" w:hAnsi="Times New Roman"/>
                <w:noProof/>
                <w:color w:val="000000"/>
                <w:sz w:val="24"/>
              </w:rPr>
              <w:t>άμματα χρηματοδοτούμενα από το Καταπιστευματικό Ταμείο Έκτακτης Ανάγκης της ΕΕ για την Αφρική</w:t>
            </w:r>
            <w:r>
              <w:rPr>
                <w:rStyle w:val="FootnoteReference"/>
                <w:rFonts w:ascii="Times New Roman" w:hAnsi="Times New Roman"/>
                <w:noProof/>
                <w:color w:val="000000"/>
                <w:sz w:val="24"/>
              </w:rPr>
              <w:footnoteReference w:id="3"/>
            </w:r>
            <w:r>
              <w:rPr>
                <w:rFonts w:ascii="Times New Roman" w:hAnsi="Times New Roman"/>
                <w:noProof/>
                <w:color w:val="000000"/>
                <w:sz w:val="24"/>
              </w:rPr>
              <w:t xml:space="preserve"> – καθώς περισσότερα από 5,3 εκατομμύρια ευάλωτοι άνθρωποι έχουν λάβει βασική στήριξη, σχεδόν ένα εκατομμύριο έχουν προσεγγιστεί στο πλαίσιο επικοινωνιακών εκστρα</w:t>
            </w:r>
            <w:r>
              <w:rPr>
                <w:rFonts w:ascii="Times New Roman" w:hAnsi="Times New Roman"/>
                <w:noProof/>
                <w:color w:val="000000"/>
                <w:sz w:val="24"/>
              </w:rPr>
              <w:t>τειών και περισσότεροι από 60 000 έχουν λάβει βοήθεια για επανένταξη μετά την επιστροφή.</w:t>
            </w:r>
          </w:p>
          <w:p w:rsidR="00835C9C" w:rsidRDefault="003F26D7">
            <w:pPr>
              <w:pStyle w:val="ListParagraph"/>
              <w:numPr>
                <w:ilvl w:val="0"/>
                <w:numId w:val="1"/>
              </w:numPr>
              <w:shd w:val="clear" w:color="auto" w:fill="C6D9F1" w:themeFill="text2" w:themeFillTint="33"/>
              <w:jc w:val="both"/>
              <w:rPr>
                <w:rFonts w:ascii="Times New Roman" w:hAnsi="Times New Roman"/>
                <w:noProof/>
                <w:sz w:val="24"/>
                <w:szCs w:val="24"/>
              </w:rPr>
            </w:pPr>
            <w:r>
              <w:rPr>
                <w:rFonts w:ascii="Times New Roman" w:hAnsi="Times New Roman"/>
                <w:noProof/>
                <w:sz w:val="24"/>
              </w:rPr>
              <w:t>Το Καταπιστευματικό Ταμείο για την Αφρική έχει επίσης διαδραματίσει καθοριστικό ρόλο στο πλαίσιο της οικειοθελούς ανθρωπιστικής επιστροφής περίπου 37 000 ευάλωτων μετα</w:t>
            </w:r>
            <w:r>
              <w:rPr>
                <w:rFonts w:ascii="Times New Roman" w:hAnsi="Times New Roman"/>
                <w:noProof/>
                <w:sz w:val="24"/>
              </w:rPr>
              <w:t xml:space="preserve">ναστών από τη Λιβύη στις χώρες καταγωγής τους από τις αρχές του 2017. </w:t>
            </w:r>
          </w:p>
          <w:p w:rsidR="00835C9C" w:rsidRDefault="003F26D7">
            <w:pPr>
              <w:pStyle w:val="ListParagraph"/>
              <w:numPr>
                <w:ilvl w:val="0"/>
                <w:numId w:val="1"/>
              </w:numP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Έχει αναληφθεί δράση κατά των εγκληματικών δικτύων λαθραίας διακίνησης μεταναστών: μόνο το 2018, το Ευρωπαϊκό Κέντρο κατά της Λαθραίας Διακίνησης Μεταναστών διαδραμάτισε κεντρικό ρόλο σ</w:t>
            </w:r>
            <w:r>
              <w:rPr>
                <w:rFonts w:ascii="Times New Roman" w:hAnsi="Times New Roman"/>
                <w:noProof/>
                <w:color w:val="000000"/>
                <w:sz w:val="24"/>
              </w:rPr>
              <w:t>ε περισσότερες από εκατό υποθέσεις υψηλής προτεραιότητας που αφορούσαν λαθραία διακίνηση. Κοινές ομάδες έρευνας καταπολεμούν τη λαθραία διακίνηση μεταναστών σε χώρες όπως ο Νίγηρας.</w:t>
            </w:r>
          </w:p>
          <w:p w:rsidR="00835C9C" w:rsidRDefault="003F26D7">
            <w:pPr>
              <w:pStyle w:val="ListParagraph"/>
              <w:numPr>
                <w:ilvl w:val="0"/>
                <w:numId w:val="1"/>
              </w:numP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 xml:space="preserve">34 710 άνθρωποι που χρήζουν διεθνούς προστασίας μετεγκαταστάθηκαν από την </w:t>
            </w:r>
            <w:r>
              <w:rPr>
                <w:rFonts w:ascii="Times New Roman" w:hAnsi="Times New Roman"/>
                <w:noProof/>
                <w:color w:val="000000"/>
                <w:sz w:val="24"/>
              </w:rPr>
              <w:t>Ιταλία και την Ελλάδα.</w:t>
            </w:r>
            <w:r>
              <w:rPr>
                <w:rFonts w:ascii="Times New Roman" w:hAnsi="Times New Roman"/>
                <w:noProof/>
                <w:color w:val="000000"/>
                <w:sz w:val="24"/>
                <w:highlight w:val="yellow"/>
              </w:rPr>
              <w:t xml:space="preserve"> </w:t>
            </w:r>
          </w:p>
          <w:p w:rsidR="00835C9C" w:rsidRDefault="003F26D7">
            <w:pPr>
              <w:pStyle w:val="ListParagraph"/>
              <w:numPr>
                <w:ilvl w:val="0"/>
                <w:numId w:val="1"/>
              </w:numP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Από το 2015, περισσότεροι από 50 000 άνθρωποι που χρήζουν διεθνούς προστασίας έχουν επανεγκατασταθεί στην ΕΕ.</w:t>
            </w:r>
          </w:p>
          <w:p w:rsidR="00835C9C" w:rsidRDefault="003F26D7">
            <w:pPr>
              <w:pStyle w:val="ListParagraph"/>
              <w:numPr>
                <w:ilvl w:val="0"/>
                <w:numId w:val="1"/>
              </w:numPr>
              <w:shd w:val="clear" w:color="auto" w:fill="C6D9F1" w:themeFill="text2" w:themeFillTint="33"/>
              <w:jc w:val="both"/>
              <w:rPr>
                <w:rFonts w:ascii="Times New Roman" w:hAnsi="Times New Roman"/>
                <w:noProof/>
                <w:sz w:val="24"/>
                <w:szCs w:val="24"/>
              </w:rPr>
            </w:pPr>
            <w:r>
              <w:rPr>
                <w:rFonts w:ascii="Times New Roman" w:hAnsi="Times New Roman"/>
                <w:noProof/>
                <w:color w:val="000000"/>
                <w:sz w:val="24"/>
              </w:rPr>
              <w:lastRenderedPageBreak/>
              <w:t xml:space="preserve">Περισσότερα από 140 εκατ. EUR δόθηκαν στο πλαίσιο του Ταμείου Ασύλου, Μετανάστευσης και Ένταξης για τη στήριξη μέτρων για </w:t>
            </w:r>
            <w:r>
              <w:rPr>
                <w:rFonts w:ascii="Times New Roman" w:hAnsi="Times New Roman"/>
                <w:noProof/>
                <w:color w:val="000000"/>
                <w:sz w:val="24"/>
              </w:rPr>
              <w:t>την ένταξη και τη νόμιμη μετανάστευση κατά το διάστημα μεταξύ του 2015 και του 2017</w:t>
            </w:r>
            <w:r>
              <w:rPr>
                <w:rStyle w:val="FootnoteReference"/>
                <w:rFonts w:ascii="Times New Roman" w:hAnsi="Times New Roman"/>
                <w:noProof/>
                <w:color w:val="000000"/>
                <w:sz w:val="24"/>
              </w:rPr>
              <w:footnoteReference w:id="4"/>
            </w:r>
            <w:r>
              <w:rPr>
                <w:noProof/>
              </w:rPr>
              <w:t>.</w:t>
            </w:r>
          </w:p>
          <w:p w:rsidR="00835C9C" w:rsidRDefault="003F26D7">
            <w:pPr>
              <w:pStyle w:val="ListParagraph"/>
              <w:numPr>
                <w:ilvl w:val="0"/>
                <w:numId w:val="1"/>
              </w:numPr>
              <w:shd w:val="clear" w:color="auto" w:fill="C6D9F1" w:themeFill="text2" w:themeFillTint="33"/>
              <w:jc w:val="both"/>
              <w:rPr>
                <w:rFonts w:ascii="Times New Roman" w:hAnsi="Times New Roman"/>
                <w:noProof/>
                <w:sz w:val="24"/>
                <w:szCs w:val="24"/>
              </w:rPr>
            </w:pPr>
            <w:r>
              <w:rPr>
                <w:rFonts w:ascii="Times New Roman" w:hAnsi="Times New Roman"/>
                <w:noProof/>
                <w:color w:val="000000"/>
                <w:sz w:val="24"/>
              </w:rPr>
              <w:t xml:space="preserve">Έχουν πλέον συναφθεί επίσημες συμφωνίες επανεισδοχής ή πρακτικές ρυθμίσεις σχετικά με την επιστροφή και την επανεισδοχή με 23 χώρες καταγωγής και διέλευσης. </w:t>
            </w:r>
          </w:p>
          <w:p w:rsidR="00835C9C" w:rsidRDefault="003F26D7">
            <w:pPr>
              <w:pStyle w:val="ListParagraph"/>
              <w:numPr>
                <w:ilvl w:val="0"/>
                <w:numId w:val="1"/>
              </w:numPr>
              <w:shd w:val="clear" w:color="auto" w:fill="C6D9F1" w:themeFill="text2" w:themeFillTint="33"/>
              <w:jc w:val="both"/>
              <w:rPr>
                <w:rFonts w:ascii="Times New Roman" w:hAnsi="Times New Roman"/>
                <w:noProof/>
                <w:sz w:val="24"/>
                <w:szCs w:val="24"/>
              </w:rPr>
            </w:pPr>
            <w:r>
              <w:rPr>
                <w:rFonts w:ascii="Times New Roman" w:hAnsi="Times New Roman"/>
                <w:noProof/>
                <w:color w:val="000000"/>
                <w:sz w:val="24"/>
              </w:rPr>
              <w:t>Παράλληλα, π</w:t>
            </w:r>
            <w:r>
              <w:rPr>
                <w:rFonts w:ascii="Times New Roman" w:hAnsi="Times New Roman"/>
                <w:noProof/>
                <w:color w:val="000000"/>
                <w:sz w:val="24"/>
              </w:rPr>
              <w:t>οσοστό άνω του 80 % της ανθρωπιστικής βοήθειας της ΕΕ το 2018 χορηγήθηκε προς στήριξη των αναγκών των βίαια εκτοπισθέντων</w:t>
            </w:r>
            <w:r>
              <w:rPr>
                <w:rStyle w:val="FootnoteReference"/>
                <w:rFonts w:ascii="Times New Roman" w:hAnsi="Times New Roman"/>
                <w:noProof/>
                <w:color w:val="000000"/>
                <w:sz w:val="24"/>
              </w:rPr>
              <w:footnoteReference w:id="5"/>
            </w:r>
            <w:r>
              <w:rPr>
                <w:noProof/>
              </w:rPr>
              <w:t>.</w:t>
            </w:r>
            <w:r>
              <w:rPr>
                <w:rFonts w:ascii="Times New Roman" w:hAnsi="Times New Roman"/>
                <w:noProof/>
                <w:color w:val="000000"/>
                <w:sz w:val="24"/>
              </w:rPr>
              <w:t xml:space="preserve"> </w:t>
            </w:r>
          </w:p>
          <w:p w:rsidR="00835C9C" w:rsidRDefault="00835C9C">
            <w:pPr>
              <w:rPr>
                <w:noProof/>
              </w:rPr>
            </w:pPr>
          </w:p>
        </w:tc>
      </w:tr>
    </w:tbl>
    <w:p w:rsidR="00835C9C" w:rsidRDefault="003F26D7">
      <w:pPr>
        <w:tabs>
          <w:tab w:val="left" w:pos="1985"/>
        </w:tabs>
        <w:jc w:val="both"/>
        <w:rPr>
          <w:rFonts w:ascii="Times New Roman" w:hAnsi="Times New Roman"/>
          <w:noProof/>
          <w:color w:val="000000"/>
          <w:sz w:val="24"/>
          <w:szCs w:val="24"/>
        </w:rPr>
      </w:pPr>
      <w:r>
        <w:rPr>
          <w:rFonts w:ascii="Times New Roman" w:hAnsi="Times New Roman"/>
          <w:noProof/>
          <w:color w:val="000000"/>
          <w:sz w:val="24"/>
        </w:rPr>
        <w:lastRenderedPageBreak/>
        <w:t>Το έργο αυτό πρέπει να συνεχιστεί. Το γεγονός ότι ο αριθμός των παράτυπων αφίξεων έχει μειωθεί δεν αποτελεί εγγύηση για το μέλλον</w:t>
      </w:r>
      <w:r>
        <w:rPr>
          <w:rFonts w:ascii="Times New Roman" w:hAnsi="Times New Roman"/>
          <w:noProof/>
          <w:color w:val="000000"/>
          <w:sz w:val="24"/>
        </w:rPr>
        <w:t>, λαμβανομένης υπόψη της πιθανής συνέχισης των μεταναστευτικών πιέσεων. Η αντιμετώπιση των βαθύτερων αιτίων της παράτυπης μετανάστευσης συνιστά αναπόφευκτα μακροπρόθεσμο έργο, ενώ η πρόσφατη αύξηση των παράτυπων αφίξεων στη Δυτική Μεσόγειο καταδεικνύει ότι</w:t>
      </w:r>
      <w:r>
        <w:rPr>
          <w:rFonts w:ascii="Times New Roman" w:hAnsi="Times New Roman"/>
          <w:noProof/>
          <w:color w:val="000000"/>
          <w:sz w:val="24"/>
        </w:rPr>
        <w:t xml:space="preserve"> η κατάσταση εξακολουθεί να είναι ασταθής και ότι οι διακινητές αναζητούν συνεχώς νέες ευκαιρίες. Βασικά προβλήματα παραμένουν άλυτα: πρέπει να αναπτύξουμε ένα σύστημα χορήγησης ασύλου κατάλληλο για τον επιδιωκόμενο σκοπό, το οποίο να διασφαλίζει την αλληλ</w:t>
      </w:r>
      <w:r>
        <w:rPr>
          <w:rFonts w:ascii="Times New Roman" w:hAnsi="Times New Roman"/>
          <w:noProof/>
          <w:color w:val="000000"/>
          <w:sz w:val="24"/>
        </w:rPr>
        <w:t xml:space="preserve">εγγύη και να μειώνει τις δευτερογενείς μετακινήσεις· πρέπει να εξασφαλίσουμε περισσότερες επιστροφές με τη λήψη μέτρων τόσο στα κράτη μέλη όσο και σε τρίτες χώρες· πρέπει να είμαστε καλύτερα προετοιμασμένοι στα εξωτερικά μας σύνορα· να καταπολεμήσουμε τις </w:t>
      </w:r>
      <w:r>
        <w:rPr>
          <w:rFonts w:ascii="Times New Roman" w:hAnsi="Times New Roman"/>
          <w:noProof/>
          <w:color w:val="000000"/>
          <w:sz w:val="24"/>
        </w:rPr>
        <w:t xml:space="preserve">νέες στρατηγικές των διακινητών· και να συνεχίσουμε την ενίσχυση ασφαλών, ομαλών και νόμιμων διαύλων για τα άτομα που χρήζουν διεθνούς προστασίας και για τους νόμιμους μετανάστες. </w:t>
      </w:r>
      <w:r>
        <w:rPr>
          <w:rFonts w:ascii="Times New Roman" w:hAnsi="Times New Roman"/>
          <w:noProof/>
          <w:color w:val="000000"/>
          <w:sz w:val="24"/>
          <w:szCs w:val="24"/>
        </w:rPr>
        <w:t>Για τη διαχείριση της μετανάστευσης απαιτείται συνεχής, μακροπρόθεσμη και εν</w:t>
      </w:r>
      <w:r>
        <w:rPr>
          <w:rFonts w:ascii="Times New Roman" w:hAnsi="Times New Roman"/>
          <w:noProof/>
          <w:sz w:val="24"/>
          <w:szCs w:val="24"/>
        </w:rPr>
        <w:t>ιαία προσπάθεια από την ΕΕ, με βάση τις αρχές της αλληλεγγύης και του δίκαιου επιμερισμού της ευθύνης. Είναι ουσιώδες να διατηρηθεί η δυναμική της απομάκρυνσης από ad hoc λύσεις προς τη δημιουργία βιώσιμων δομών και ενός αποτελεσματικού και θωρακισμένου έν</w:t>
      </w:r>
      <w:r>
        <w:rPr>
          <w:rFonts w:ascii="Times New Roman" w:hAnsi="Times New Roman"/>
          <w:noProof/>
          <w:sz w:val="24"/>
          <w:szCs w:val="24"/>
        </w:rPr>
        <w:t>αντι μελλοντικών εξελίξεων νομικού πλαισίου. Οι στόχοι αυτοί μπορούν να επιτευχθούν με την αξιοποίηση του κοινού έργου που έχουμε επιτελέσει επί τέσσερα έτη</w:t>
      </w:r>
      <w:r>
        <w:rPr>
          <w:rStyle w:val="FootnoteReference"/>
          <w:rFonts w:ascii="Times New Roman" w:hAnsi="Times New Roman"/>
          <w:noProof/>
          <w:color w:val="000000"/>
          <w:sz w:val="24"/>
        </w:rPr>
        <w:footnoteReference w:id="6"/>
      </w:r>
      <w:r>
        <w:rPr>
          <w:noProof/>
        </w:rPr>
        <w:t>.</w:t>
      </w:r>
    </w:p>
    <w:p w:rsidR="00835C9C" w:rsidRDefault="00835C9C">
      <w:pPr>
        <w:jc w:val="both"/>
        <w:rPr>
          <w:rFonts w:ascii="Times New Roman" w:hAnsi="Times New Roman"/>
          <w:noProof/>
          <w:color w:val="000000"/>
          <w:sz w:val="24"/>
          <w:szCs w:val="24"/>
        </w:rPr>
      </w:pPr>
    </w:p>
    <w:p w:rsidR="00835C9C" w:rsidRDefault="003F26D7">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 xml:space="preserve">Όποτε η ΕΕ και τα κράτη μέλη έχουν ενεργήσει από κοινού, η εμβάθυνση της συνεργασίας με βασικές </w:t>
      </w:r>
      <w:r>
        <w:rPr>
          <w:rFonts w:ascii="Times New Roman" w:hAnsi="Times New Roman"/>
          <w:noProof/>
          <w:color w:val="000000"/>
          <w:sz w:val="24"/>
        </w:rPr>
        <w:t>χώρες εταίρους, όπως η Τουρκία ή ο Νίγηρας, έχει οδηγήσει σε σημαντική μείωση των παράτυπων αφίξεων. Η κοινή δράση έχει αποδώσει καρπούς στην καταπολέμηση της λαθραίας διακίνησης μεταναστών, στην εξεύρεση εναλλακτικών νόμιμων διαύλων και στη σύναψη έξι νέω</w:t>
      </w:r>
      <w:r>
        <w:rPr>
          <w:rFonts w:ascii="Times New Roman" w:hAnsi="Times New Roman"/>
          <w:noProof/>
          <w:color w:val="000000"/>
          <w:sz w:val="24"/>
        </w:rPr>
        <w:t xml:space="preserve">ν ρυθμίσεων για την επανεισδοχή με βασικές χώρες καταγωγής. Η συνεργασία με την Αφρική και την Αφρικανική Ένωση έχει αναπτυχθεί σε νέα επίπεδα. </w:t>
      </w:r>
    </w:p>
    <w:p w:rsidR="00835C9C" w:rsidRDefault="00835C9C">
      <w:pPr>
        <w:pStyle w:val="ListParagraph"/>
        <w:ind w:left="0"/>
        <w:jc w:val="both"/>
        <w:rPr>
          <w:rFonts w:ascii="Times New Roman" w:hAnsi="Times New Roman"/>
          <w:noProof/>
          <w:color w:val="000000"/>
          <w:sz w:val="24"/>
          <w:szCs w:val="24"/>
        </w:rPr>
      </w:pPr>
    </w:p>
    <w:p w:rsidR="00835C9C" w:rsidRDefault="003F26D7">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Όλες αυτές οι πρωτοβουλίες αποφέρουν ήδη αποτελέσματα και έχουν τη δυνατότητα να αποφέρουν και άλλα. Έχει ουσι</w:t>
      </w:r>
      <w:r>
        <w:rPr>
          <w:rFonts w:ascii="Times New Roman" w:hAnsi="Times New Roman"/>
          <w:noProof/>
          <w:color w:val="000000"/>
          <w:sz w:val="24"/>
        </w:rPr>
        <w:t>ώδη σημασία η επιδίωξη της εφαρμογής της ολοκληρωμένης προσέγγισης που προβλέπεται στο πλαίσιο των τεσσάρων πυλώνων του ευρωπαϊκού προγράμματος δράσης για τη μετανάστευση, καθώς και η διαμόρφωση ενός βιώσιμου πλαισίου.</w:t>
      </w:r>
    </w:p>
    <w:p w:rsidR="00835C9C" w:rsidRDefault="00835C9C">
      <w:pPr>
        <w:pStyle w:val="ListParagraph"/>
        <w:ind w:left="0"/>
        <w:jc w:val="both"/>
        <w:rPr>
          <w:rFonts w:ascii="Times New Roman" w:hAnsi="Times New Roman"/>
          <w:b/>
          <w:noProof/>
          <w:color w:val="1F497D" w:themeColor="text2"/>
          <w:sz w:val="24"/>
          <w:szCs w:val="24"/>
        </w:rPr>
      </w:pPr>
    </w:p>
    <w:p w:rsidR="00835C9C" w:rsidRDefault="00835C9C">
      <w:pPr>
        <w:pStyle w:val="ListParagraph"/>
        <w:jc w:val="both"/>
        <w:rPr>
          <w:rFonts w:ascii="Times New Roman" w:hAnsi="Times New Roman"/>
          <w:b/>
          <w:noProof/>
          <w:color w:val="1F497D" w:themeColor="text2"/>
          <w:sz w:val="24"/>
          <w:szCs w:val="24"/>
        </w:rPr>
      </w:pPr>
    </w:p>
    <w:p w:rsidR="00835C9C" w:rsidRDefault="003F26D7">
      <w:pPr>
        <w:pStyle w:val="ListParagraph"/>
        <w:numPr>
          <w:ilvl w:val="0"/>
          <w:numId w:val="2"/>
        </w:numPr>
        <w:jc w:val="both"/>
        <w:rPr>
          <w:rFonts w:ascii="Times New Roman" w:hAnsi="Times New Roman"/>
          <w:b/>
          <w:noProof/>
          <w:sz w:val="24"/>
          <w:szCs w:val="24"/>
        </w:rPr>
      </w:pPr>
      <w:r>
        <w:rPr>
          <w:rFonts w:ascii="Times New Roman" w:hAnsi="Times New Roman"/>
          <w:b/>
          <w:noProof/>
          <w:sz w:val="24"/>
        </w:rPr>
        <w:t>Η ΣΗΜΕΡΙΝΗ ΚΑΤΑΣΤΑΣΗ</w:t>
      </w:r>
    </w:p>
    <w:p w:rsidR="00835C9C" w:rsidRDefault="00835C9C">
      <w:pPr>
        <w:jc w:val="both"/>
        <w:rPr>
          <w:rFonts w:ascii="Times New Roman" w:hAnsi="Times New Roman"/>
          <w:i/>
          <w:noProof/>
          <w:sz w:val="24"/>
          <w:szCs w:val="24"/>
        </w:rPr>
      </w:pPr>
    </w:p>
    <w:p w:rsidR="00835C9C" w:rsidRDefault="003F26D7">
      <w:pPr>
        <w:spacing w:after="120"/>
        <w:jc w:val="both"/>
        <w:rPr>
          <w:rFonts w:ascii="Times New Roman" w:hAnsi="Times New Roman"/>
          <w:i/>
          <w:noProof/>
          <w:sz w:val="24"/>
          <w:szCs w:val="24"/>
        </w:rPr>
      </w:pPr>
      <w:r>
        <w:rPr>
          <w:rFonts w:ascii="Times New Roman" w:hAnsi="Times New Roman"/>
          <w:i/>
          <w:noProof/>
          <w:sz w:val="24"/>
        </w:rPr>
        <w:t xml:space="preserve">Παράτυπες </w:t>
      </w:r>
      <w:r>
        <w:rPr>
          <w:rFonts w:ascii="Times New Roman" w:hAnsi="Times New Roman"/>
          <w:i/>
          <w:noProof/>
          <w:sz w:val="24"/>
        </w:rPr>
        <w:t>αφίξεις</w:t>
      </w:r>
    </w:p>
    <w:p w:rsidR="00835C9C" w:rsidRDefault="003F26D7">
      <w:pPr>
        <w:spacing w:after="120"/>
        <w:jc w:val="both"/>
        <w:rPr>
          <w:rFonts w:ascii="Times New Roman" w:hAnsi="Times New Roman"/>
          <w:noProof/>
          <w:sz w:val="24"/>
          <w:szCs w:val="24"/>
        </w:rPr>
      </w:pPr>
      <w:r>
        <w:rPr>
          <w:rFonts w:ascii="Times New Roman" w:hAnsi="Times New Roman"/>
          <w:noProof/>
          <w:sz w:val="24"/>
        </w:rPr>
        <w:t>Η σημερινή κατάσταση παρουσιάζει συνεχή σημαντική μείωση σε σχέση με τα ανώτατα επίπεδα παράτυπων αφίξεων του 2015</w:t>
      </w:r>
      <w:r>
        <w:rPr>
          <w:rStyle w:val="FootnoteReference"/>
          <w:rFonts w:ascii="Times New Roman" w:hAnsi="Times New Roman"/>
          <w:i/>
          <w:noProof/>
          <w:sz w:val="24"/>
        </w:rPr>
        <w:footnoteReference w:id="7"/>
      </w:r>
      <w:r>
        <w:rPr>
          <w:rFonts w:ascii="Times New Roman" w:hAnsi="Times New Roman"/>
          <w:noProof/>
          <w:sz w:val="24"/>
        </w:rPr>
        <w:t xml:space="preserve">. Ωστόσο, ορισμένες τάσεις συνεχίστηκαν το 2018 και στις αρχές του 2019 και καταδεικνύουν την ανάγκη για διαρκή δράση, καθώς και για </w:t>
      </w:r>
      <w:r>
        <w:rPr>
          <w:rFonts w:ascii="Times New Roman" w:hAnsi="Times New Roman"/>
          <w:noProof/>
          <w:sz w:val="24"/>
        </w:rPr>
        <w:t xml:space="preserve">ικανότητα αντίδρασης σε μεταβαλλόμενες καταστάσεις. </w:t>
      </w:r>
    </w:p>
    <w:p w:rsidR="00835C9C" w:rsidRDefault="00835C9C">
      <w:pPr>
        <w:jc w:val="center"/>
        <w:rPr>
          <w:rFonts w:ascii="Times New Roman" w:hAnsi="Times New Roman"/>
          <w:i/>
          <w:noProof/>
          <w:sz w:val="24"/>
        </w:rPr>
      </w:pPr>
    </w:p>
    <w:p w:rsidR="00835C9C" w:rsidRDefault="003F26D7">
      <w:pPr>
        <w:jc w:val="center"/>
        <w:rPr>
          <w:rFonts w:ascii="Times New Roman" w:hAnsi="Times New Roman"/>
          <w:i/>
          <w:noProof/>
          <w:sz w:val="24"/>
          <w:szCs w:val="24"/>
        </w:rPr>
      </w:pPr>
      <w:r>
        <w:rPr>
          <w:rFonts w:ascii="Times New Roman" w:hAnsi="Times New Roman"/>
          <w:i/>
          <w:noProof/>
          <w:sz w:val="24"/>
        </w:rPr>
        <w:t>Παράτυπες συνοριακές διελεύσεις στις τρεις βασικές διαδρομές</w:t>
      </w:r>
    </w:p>
    <w:p w:rsidR="00835C9C" w:rsidRDefault="003F26D7">
      <w:pPr>
        <w:jc w:val="both"/>
        <w:rPr>
          <w:rFonts w:ascii="Times New Roman" w:hAnsi="Times New Roman"/>
          <w:noProof/>
          <w:sz w:val="24"/>
          <w:szCs w:val="24"/>
        </w:rPr>
      </w:pPr>
      <w:r>
        <w:rPr>
          <w:noProof/>
          <w:lang w:val="en-GB" w:eastAsia="en-GB" w:bidi="ar-SA"/>
        </w:rPr>
        <w:drawing>
          <wp:inline distT="0" distB="0" distL="0" distR="0">
            <wp:extent cx="5759450" cy="31855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185565"/>
                    </a:xfrm>
                    <a:prstGeom prst="rect">
                      <a:avLst/>
                    </a:prstGeom>
                    <a:noFill/>
                    <a:ln>
                      <a:noFill/>
                    </a:ln>
                  </pic:spPr>
                </pic:pic>
              </a:graphicData>
            </a:graphic>
          </wp:inline>
        </w:drawing>
      </w:r>
    </w:p>
    <w:p w:rsidR="00835C9C" w:rsidRDefault="00835C9C">
      <w:pPr>
        <w:spacing w:after="120"/>
        <w:jc w:val="both"/>
        <w:rPr>
          <w:rFonts w:ascii="Times New Roman" w:hAnsi="Times New Roman"/>
          <w:i/>
          <w:noProof/>
          <w:color w:val="000000"/>
          <w:sz w:val="24"/>
          <w:szCs w:val="24"/>
        </w:rPr>
      </w:pPr>
    </w:p>
    <w:p w:rsidR="00835C9C" w:rsidRDefault="003F26D7">
      <w:pPr>
        <w:pStyle w:val="ListParagraph"/>
        <w:numPr>
          <w:ilvl w:val="0"/>
          <w:numId w:val="5"/>
        </w:numPr>
        <w:spacing w:after="120"/>
        <w:ind w:left="426" w:hanging="284"/>
        <w:contextualSpacing w:val="0"/>
        <w:jc w:val="both"/>
        <w:rPr>
          <w:rFonts w:ascii="Times New Roman" w:hAnsi="Times New Roman"/>
          <w:i/>
          <w:noProof/>
          <w:color w:val="000000"/>
          <w:sz w:val="24"/>
          <w:szCs w:val="24"/>
        </w:rPr>
      </w:pPr>
      <w:r>
        <w:rPr>
          <w:rFonts w:ascii="Times New Roman" w:hAnsi="Times New Roman"/>
          <w:noProof/>
          <w:sz w:val="24"/>
        </w:rPr>
        <w:t xml:space="preserve">Στη διαδρομή </w:t>
      </w:r>
      <w:r>
        <w:rPr>
          <w:rFonts w:ascii="Times New Roman" w:hAnsi="Times New Roman"/>
          <w:i/>
          <w:noProof/>
          <w:sz w:val="24"/>
        </w:rPr>
        <w:t>Δυτικής Μεσογείου/Ατλαντικού</w:t>
      </w:r>
      <w:r>
        <w:rPr>
          <w:rFonts w:ascii="Times New Roman" w:hAnsi="Times New Roman"/>
          <w:noProof/>
          <w:sz w:val="24"/>
        </w:rPr>
        <w:t xml:space="preserve"> οι αφίξεις αυξήθηκαν πέρυσι και παραμένουν σε υψηλά επίπεδα. Ο συνολικός αριθμός αφίξεων στην Ισ</w:t>
      </w:r>
      <w:r>
        <w:rPr>
          <w:rFonts w:ascii="Times New Roman" w:hAnsi="Times New Roman"/>
          <w:noProof/>
          <w:sz w:val="24"/>
        </w:rPr>
        <w:t>πανία το 2018 (σχεδόν 65 000 άνθρωποι) ήταν κατά 131 % υψηλότερος από αυτόν του 2017, και η τάση αυτή συνεχίζεται το 2019</w:t>
      </w:r>
      <w:r>
        <w:rPr>
          <w:rStyle w:val="FootnoteReference"/>
          <w:rFonts w:ascii="Times New Roman" w:hAnsi="Times New Roman"/>
          <w:noProof/>
          <w:sz w:val="24"/>
        </w:rPr>
        <w:footnoteReference w:id="8"/>
      </w:r>
      <w:r>
        <w:rPr>
          <w:noProof/>
        </w:rPr>
        <w:t>.</w:t>
      </w:r>
      <w:r>
        <w:rPr>
          <w:rFonts w:ascii="Times New Roman" w:hAnsi="Times New Roman"/>
          <w:noProof/>
          <w:sz w:val="24"/>
        </w:rPr>
        <w:t xml:space="preserve"> Όσον αφορά την ιθαγένεια, η ομάδα που σημείωσε τα μεγαλύτερα ποσοστά αφίξεων το 2018 στην Ισπανία ήταν οι Μαροκινοί (ένα πέμπτο του </w:t>
      </w:r>
      <w:r>
        <w:rPr>
          <w:rFonts w:ascii="Times New Roman" w:hAnsi="Times New Roman"/>
          <w:noProof/>
          <w:sz w:val="24"/>
        </w:rPr>
        <w:t>συνόλου των διελεύσεων), ακολουθούμενοι από υπηκόους χωρών της δυτικής Αφρικής –Γουινέα, Μάλι, Ακτή Ελεφαντοστού και Γκάμπια– καθώς και από υπηκόους της Αλγερίας.</w:t>
      </w:r>
    </w:p>
    <w:p w:rsidR="00835C9C" w:rsidRDefault="003F26D7">
      <w:pPr>
        <w:pStyle w:val="ListParagraph"/>
        <w:numPr>
          <w:ilvl w:val="0"/>
          <w:numId w:val="5"/>
        </w:numPr>
        <w:spacing w:after="120"/>
        <w:ind w:left="426" w:hanging="284"/>
        <w:contextualSpacing w:val="0"/>
        <w:jc w:val="both"/>
        <w:rPr>
          <w:rFonts w:ascii="Times New Roman" w:hAnsi="Times New Roman"/>
          <w:noProof/>
          <w:sz w:val="24"/>
          <w:szCs w:val="24"/>
        </w:rPr>
      </w:pPr>
      <w:r>
        <w:rPr>
          <w:rFonts w:ascii="Times New Roman" w:hAnsi="Times New Roman"/>
          <w:noProof/>
          <w:sz w:val="24"/>
        </w:rPr>
        <w:t xml:space="preserve">Στην </w:t>
      </w:r>
      <w:r>
        <w:rPr>
          <w:rFonts w:ascii="Times New Roman" w:hAnsi="Times New Roman"/>
          <w:i/>
          <w:noProof/>
          <w:sz w:val="24"/>
        </w:rPr>
        <w:t>Κεντρική Μεσόγειο</w:t>
      </w:r>
      <w:r>
        <w:rPr>
          <w:rFonts w:ascii="Times New Roman" w:hAnsi="Times New Roman"/>
          <w:noProof/>
          <w:sz w:val="24"/>
        </w:rPr>
        <w:t>, τα ποσοστά παράτυπων αφίξεων παραμένουν χαμηλά. Συνολικά, το 2018 σημ</w:t>
      </w:r>
      <w:r>
        <w:rPr>
          <w:rFonts w:ascii="Times New Roman" w:hAnsi="Times New Roman"/>
          <w:noProof/>
          <w:sz w:val="24"/>
        </w:rPr>
        <w:t>ειώθηκε πτώση της τάξης του 80 % στις παράτυπες αφίξεις στην Ιταλία, σε σύγκριση με το 2017, και η τάση αυτή συνεχίστηκε το 2019 με αποτέλεσμα το ποσοστό να μειωθεί στα προ κρίσης επίπεδα. Παρότι περισσότερες από τις μισές αναχωρήσεις το 2018 πραγματοποιήθ</w:t>
      </w:r>
      <w:r>
        <w:rPr>
          <w:rFonts w:ascii="Times New Roman" w:hAnsi="Times New Roman"/>
          <w:noProof/>
          <w:sz w:val="24"/>
        </w:rPr>
        <w:t>ηκαν από τη Λιβύη, η Λιβυκή Ακτοφυλακή συνεχίζει να συλλαμβάνει ή να διασώζει μεγάλο αριθμό ατόμων στη θάλασσα – περίπου 15 000 το 2018, με τις περισσότερες περιπτώσεις να αφορούν Σουδανούς (14 %), Νιγηριανούς (12 %) και Ερυθραίους (12 %)</w:t>
      </w:r>
      <w:r>
        <w:rPr>
          <w:rStyle w:val="FootnoteReference"/>
          <w:rFonts w:ascii="Times New Roman" w:hAnsi="Times New Roman"/>
          <w:noProof/>
          <w:sz w:val="24"/>
        </w:rPr>
        <w:footnoteReference w:id="9"/>
      </w:r>
      <w:r>
        <w:rPr>
          <w:noProof/>
        </w:rPr>
        <w:t>.</w:t>
      </w:r>
      <w:r>
        <w:rPr>
          <w:rFonts w:ascii="Times New Roman" w:hAnsi="Times New Roman"/>
          <w:noProof/>
          <w:sz w:val="24"/>
        </w:rPr>
        <w:t xml:space="preserve"> Η Τυνησία καθίσταται ολοένα και σημαντικότερη ως χώρα αναχώρησης (κυρίως Τυνήσιων) προς την Ιταλία, και κατά το δεύτερο εξάμηνο του 2018 σημειώθηκε αύξηση των αφίξεων στη Μάλτα. </w:t>
      </w:r>
    </w:p>
    <w:p w:rsidR="00835C9C" w:rsidRDefault="003F26D7">
      <w:pPr>
        <w:pStyle w:val="ListParagraph"/>
        <w:numPr>
          <w:ilvl w:val="0"/>
          <w:numId w:val="5"/>
        </w:numPr>
        <w:spacing w:after="240"/>
        <w:ind w:left="419" w:hanging="357"/>
        <w:contextualSpacing w:val="0"/>
        <w:jc w:val="both"/>
        <w:rPr>
          <w:rFonts w:ascii="Times New Roman" w:hAnsi="Times New Roman"/>
          <w:noProof/>
          <w:sz w:val="24"/>
          <w:szCs w:val="24"/>
        </w:rPr>
      </w:pPr>
      <w:r>
        <w:rPr>
          <w:rFonts w:ascii="Times New Roman" w:hAnsi="Times New Roman"/>
          <w:noProof/>
          <w:sz w:val="24"/>
        </w:rPr>
        <w:t xml:space="preserve">Στην </w:t>
      </w:r>
      <w:r>
        <w:rPr>
          <w:rFonts w:ascii="Times New Roman" w:hAnsi="Times New Roman"/>
          <w:i/>
          <w:noProof/>
          <w:sz w:val="24"/>
        </w:rPr>
        <w:t>Ανατολική Μεσόγειο</w:t>
      </w:r>
      <w:r>
        <w:rPr>
          <w:rFonts w:ascii="Times New Roman" w:hAnsi="Times New Roman"/>
          <w:noProof/>
          <w:sz w:val="24"/>
        </w:rPr>
        <w:t>, οι αριθμοί αυξάνονταν καθ’ όλη τη διάρκεια του 2018</w:t>
      </w:r>
      <w:r>
        <w:rPr>
          <w:rFonts w:ascii="Times New Roman" w:hAnsi="Times New Roman"/>
          <w:noProof/>
          <w:sz w:val="24"/>
        </w:rPr>
        <w:t xml:space="preserve"> και ο αριθμός των αφίξεων στην Ελλάδα το 2019 είναι πλέον περίπου κατά 30 % υψηλότερος σε σύγκριση με το προηγούμενο έτος. Η τάση αυτή ασκεί συνεχείς πιέσεις στα νησιά του Αιγαίου, αλλά και στα ελληνοτουρκικά χερσαία σύνορα, καθώς οι επιστροφές στην Τουρκ</w:t>
      </w:r>
      <w:r>
        <w:rPr>
          <w:rFonts w:ascii="Times New Roman" w:hAnsi="Times New Roman"/>
          <w:noProof/>
          <w:sz w:val="24"/>
        </w:rPr>
        <w:t>ία είναι ελάχιστες για να καταστεί δυνατό να μετριαστούν οι πιέσεις αυτές και να αντιμετωπιστεί το επιχειρηματικό μοντέλο των διακινητών</w:t>
      </w:r>
      <w:r>
        <w:rPr>
          <w:rStyle w:val="FootnoteReference"/>
          <w:rFonts w:ascii="Times New Roman" w:hAnsi="Times New Roman"/>
          <w:noProof/>
          <w:sz w:val="24"/>
        </w:rPr>
        <w:footnoteReference w:id="10"/>
      </w:r>
      <w:r>
        <w:rPr>
          <w:noProof/>
        </w:rPr>
        <w:t>.</w:t>
      </w:r>
      <w:r>
        <w:rPr>
          <w:rFonts w:ascii="Times New Roman" w:hAnsi="Times New Roman"/>
          <w:noProof/>
          <w:sz w:val="24"/>
        </w:rPr>
        <w:t xml:space="preserve"> Όσον αφορά την ιθαγένεια, η ομάδα που έχει σημειώσει τα σημαντικότερα ποσοστά αφίξεων στα νησιά το 2018 και το 2019 μ</w:t>
      </w:r>
      <w:r>
        <w:rPr>
          <w:rFonts w:ascii="Times New Roman" w:hAnsi="Times New Roman"/>
          <w:noProof/>
          <w:sz w:val="24"/>
        </w:rPr>
        <w:t>έχρι στιγμής είναι οι Αφγανοί, ενώ όσον αφορά την κυριότερη ιθαγένεια που εισέρχεται στην ΕΕ μέσω των χερσαίων συνόρων, πρόκειται για Τούρκους υπηκόους. Αύξηση παρουσίασαν και οι αφίξεις στην Κύπρο, τόσο διά θαλάσσης όσο και μέσω χερσαίων διελεύσεων στις π</w:t>
      </w:r>
      <w:r>
        <w:rPr>
          <w:rFonts w:ascii="Times New Roman" w:hAnsi="Times New Roman"/>
          <w:noProof/>
          <w:sz w:val="24"/>
        </w:rPr>
        <w:t>εριοχές που ελέγχονται από την κυβέρνηση της Κύπρου.</w:t>
      </w:r>
    </w:p>
    <w:p w:rsidR="00835C9C" w:rsidRDefault="003F26D7">
      <w:pPr>
        <w:jc w:val="both"/>
        <w:rPr>
          <w:rFonts w:ascii="Times New Roman" w:hAnsi="Times New Roman"/>
          <w:noProof/>
          <w:sz w:val="24"/>
          <w:szCs w:val="24"/>
        </w:rPr>
      </w:pPr>
      <w:r>
        <w:rPr>
          <w:rFonts w:ascii="Times New Roman" w:hAnsi="Times New Roman"/>
          <w:noProof/>
          <w:sz w:val="24"/>
        </w:rPr>
        <w:t xml:space="preserve">Το 2018 παρατηρήθηκαν επίσης σημαντικές αυξήσεις των παράτυπων μετακινήσεων στα </w:t>
      </w:r>
      <w:r>
        <w:rPr>
          <w:rFonts w:ascii="Times New Roman" w:hAnsi="Times New Roman"/>
          <w:i/>
          <w:noProof/>
          <w:sz w:val="24"/>
        </w:rPr>
        <w:t>Δυτικά Βαλκάνια</w:t>
      </w:r>
      <w:r>
        <w:rPr>
          <w:rFonts w:ascii="Times New Roman" w:hAnsi="Times New Roman"/>
          <w:noProof/>
          <w:sz w:val="24"/>
        </w:rPr>
        <w:t>, αν και οι αριθμοί μειώθηκαν προς το τέλος του έτους με την έναρξη του χειμώνα. Το 2018 οι αριθμοί των παρά</w:t>
      </w:r>
      <w:r>
        <w:rPr>
          <w:rFonts w:ascii="Times New Roman" w:hAnsi="Times New Roman"/>
          <w:noProof/>
          <w:sz w:val="24"/>
        </w:rPr>
        <w:t>τυπων αφίξεων τετραπλασιάστηκαν σε σχέση με το 2017, ενώ η βασική διαδρομή στην περιοχή ακολουθεί την πορεία από τη Σερβία προς τη Βοσνία-Ερζεγοβίνη. Στη Βοσνία-Ερζεγοβίνη καταγράφηκαν περίπου 24 000 παράτυπες αφίξεις το 2018 και στο τέλος του έτους οι μετ</w:t>
      </w:r>
      <w:r>
        <w:rPr>
          <w:rFonts w:ascii="Times New Roman" w:hAnsi="Times New Roman"/>
          <w:noProof/>
          <w:sz w:val="24"/>
        </w:rPr>
        <w:t>ανάστες στη χώρα ανέρχονταν σε περίπου 5 000. Ωστόσο, η ένταση των αφίξεων κατά μήκος της διαδρομής αυτής μειώθηκε μετά την κατάργηση από τη Σερβία της απαλλαγής των Ιρανών πολιτών από την υποχρέωση θεώρησης στις 17 Οκτωβρίου 2018. Επί του παρόντος παρατηρ</w:t>
      </w:r>
      <w:r>
        <w:rPr>
          <w:rFonts w:ascii="Times New Roman" w:hAnsi="Times New Roman"/>
          <w:noProof/>
          <w:sz w:val="24"/>
        </w:rPr>
        <w:t>είται αύξηση των αφίξεων Ινδών πολιτών λόγω της πολιτικής της Σερβίας για καθεστώς απαλλαγής από την υποχρέωση θεώρησης.</w:t>
      </w:r>
    </w:p>
    <w:p w:rsidR="00835C9C" w:rsidRDefault="00835C9C">
      <w:pPr>
        <w:jc w:val="both"/>
        <w:rPr>
          <w:rFonts w:ascii="Times New Roman" w:hAnsi="Times New Roman"/>
          <w:noProof/>
          <w:sz w:val="24"/>
          <w:szCs w:val="24"/>
        </w:rPr>
      </w:pPr>
    </w:p>
    <w:p w:rsidR="00835C9C" w:rsidRDefault="003F26D7">
      <w:pPr>
        <w:jc w:val="both"/>
        <w:rPr>
          <w:rFonts w:ascii="Times New Roman" w:hAnsi="Times New Roman"/>
          <w:noProof/>
          <w:sz w:val="24"/>
          <w:szCs w:val="24"/>
        </w:rPr>
      </w:pPr>
      <w:r>
        <w:rPr>
          <w:rFonts w:ascii="Times New Roman" w:hAnsi="Times New Roman"/>
          <w:noProof/>
          <w:sz w:val="24"/>
        </w:rPr>
        <w:t>Ενώ ο αριθμός των νεκρών στη Μεσόγειο συνέχισε να μειώνεται από το 2016 χάρη στις προσπάθειες της ΕΕ, των κρατών μελών και άλλων εταίρ</w:t>
      </w:r>
      <w:r>
        <w:rPr>
          <w:rFonts w:ascii="Times New Roman" w:hAnsi="Times New Roman"/>
          <w:noProof/>
          <w:sz w:val="24"/>
        </w:rPr>
        <w:t>ων, τα επιχειρηματικά μοντέλα των διακινητών συνεχίζουν να κοστίζουν ζωές κατά τις διελεύσεις των θαλάσσιων συνόρων. Το 2018 σκοτώθηκαν περίπου 2 300 άτομα σε σύγκριση με περισσότερα από 3 100 το 2017, και περισσότεροι από 220 άνθρωποι έχουν χάσει τη ζωή τ</w:t>
      </w:r>
      <w:r>
        <w:rPr>
          <w:rFonts w:ascii="Times New Roman" w:hAnsi="Times New Roman"/>
          <w:noProof/>
          <w:sz w:val="24"/>
        </w:rPr>
        <w:t>ους έως σήμερα εντός του 2019</w:t>
      </w:r>
      <w:r>
        <w:rPr>
          <w:rStyle w:val="FootnoteReference"/>
          <w:rFonts w:ascii="Times New Roman" w:hAnsi="Times New Roman"/>
          <w:noProof/>
          <w:sz w:val="24"/>
        </w:rPr>
        <w:footnoteReference w:id="11"/>
      </w:r>
      <w:r>
        <w:rPr>
          <w:noProof/>
        </w:rPr>
        <w:t>.</w:t>
      </w:r>
    </w:p>
    <w:p w:rsidR="00835C9C" w:rsidRDefault="00835C9C">
      <w:pPr>
        <w:jc w:val="both"/>
        <w:rPr>
          <w:rFonts w:ascii="Times New Roman" w:hAnsi="Times New Roman"/>
          <w:b/>
          <w:i/>
          <w:noProof/>
          <w:sz w:val="24"/>
          <w:szCs w:val="24"/>
        </w:rPr>
      </w:pPr>
    </w:p>
    <w:p w:rsidR="00835C9C" w:rsidRDefault="00835C9C">
      <w:pPr>
        <w:spacing w:after="120"/>
        <w:jc w:val="both"/>
        <w:rPr>
          <w:rFonts w:ascii="Times New Roman" w:hAnsi="Times New Roman"/>
          <w:i/>
          <w:noProof/>
          <w:sz w:val="24"/>
          <w:szCs w:val="24"/>
        </w:rPr>
      </w:pPr>
    </w:p>
    <w:p w:rsidR="00835C9C" w:rsidRDefault="003F26D7">
      <w:pPr>
        <w:spacing w:after="120"/>
        <w:jc w:val="both"/>
        <w:rPr>
          <w:rFonts w:ascii="Times New Roman" w:hAnsi="Times New Roman"/>
          <w:i/>
          <w:noProof/>
          <w:sz w:val="24"/>
          <w:szCs w:val="24"/>
        </w:rPr>
      </w:pPr>
      <w:r>
        <w:rPr>
          <w:rFonts w:ascii="Times New Roman" w:hAnsi="Times New Roman"/>
          <w:i/>
          <w:noProof/>
          <w:sz w:val="24"/>
        </w:rPr>
        <w:t>Άσυλο</w:t>
      </w:r>
    </w:p>
    <w:p w:rsidR="00835C9C" w:rsidRDefault="003F26D7">
      <w:pPr>
        <w:jc w:val="both"/>
        <w:rPr>
          <w:rFonts w:ascii="Times New Roman" w:hAnsi="Times New Roman"/>
          <w:noProof/>
          <w:sz w:val="24"/>
          <w:szCs w:val="24"/>
        </w:rPr>
      </w:pPr>
      <w:r>
        <w:rPr>
          <w:rFonts w:ascii="Times New Roman" w:hAnsi="Times New Roman"/>
          <w:noProof/>
          <w:sz w:val="24"/>
        </w:rPr>
        <w:t>Το 2018, υποβλήθηκαν περίπου 634 700 αιτήσεις για διεθνή προστασία στην ΕΕ και στις συνδεδεμένες χώρες Σένγκεν. Ο αριθμός αυτός είναι κατά 10 % μικρότερος από αυτόν του 2017 και καταδεικνύει ότι οι αριθμοί επανέρχοντ</w:t>
      </w:r>
      <w:r>
        <w:rPr>
          <w:rFonts w:ascii="Times New Roman" w:hAnsi="Times New Roman"/>
          <w:noProof/>
          <w:sz w:val="24"/>
        </w:rPr>
        <w:t>αι σε επίπεδα παρόμοια με αυτά του 2014</w:t>
      </w:r>
      <w:r>
        <w:rPr>
          <w:rStyle w:val="FootnoteReference"/>
          <w:rFonts w:ascii="Times New Roman" w:hAnsi="Times New Roman"/>
          <w:noProof/>
          <w:sz w:val="24"/>
        </w:rPr>
        <w:footnoteReference w:id="12"/>
      </w:r>
      <w:r>
        <w:rPr>
          <w:noProof/>
        </w:rPr>
        <w:t>.</w:t>
      </w:r>
      <w:r>
        <w:rPr>
          <w:rFonts w:ascii="Times New Roman" w:hAnsi="Times New Roman"/>
          <w:noProof/>
          <w:sz w:val="24"/>
        </w:rPr>
        <w:t xml:space="preserve"> Οι κυριότερες χώρες προς τις οποίες υποβλήθηκαν αιτήσεις το 2018 ήταν η Γερμανία, η Γαλλία, η Ελλάδα, η Ιταλία και η Ισπανία (72 % του συνόλου των αιτήσεων στην ΕΕ και στις συνδεδεμένες χώρες Σένγκεν)</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Όπως και το</w:t>
      </w:r>
      <w:r>
        <w:rPr>
          <w:rFonts w:ascii="Times New Roman" w:hAnsi="Times New Roman"/>
          <w:noProof/>
          <w:sz w:val="24"/>
        </w:rPr>
        <w:t xml:space="preserve"> 2017, οι κυριότερες χώρες καταγωγής ήταν η Συρία, το Αφγανιστάν και το Ιράκ. Σημαντική αύξηση έχει επίσης σημειωθεί και στις αιτήσεις μεταναστών από χώρες που απαλλάσσονται από υποχρέωση θεώρησης Σένγκεν, και συγκεκριμένα από τη Βενεζουέλα, τη Γεωργία και</w:t>
      </w:r>
      <w:r>
        <w:rPr>
          <w:rFonts w:ascii="Times New Roman" w:hAnsi="Times New Roman"/>
          <w:noProof/>
          <w:sz w:val="24"/>
        </w:rPr>
        <w:t xml:space="preserve"> την Κολομβία.</w:t>
      </w:r>
    </w:p>
    <w:p w:rsidR="00835C9C" w:rsidRDefault="00835C9C">
      <w:pPr>
        <w:jc w:val="both"/>
        <w:rPr>
          <w:rFonts w:ascii="Times New Roman" w:hAnsi="Times New Roman"/>
          <w:i/>
          <w:noProof/>
          <w:sz w:val="24"/>
          <w:szCs w:val="24"/>
        </w:rPr>
      </w:pPr>
    </w:p>
    <w:p w:rsidR="00835C9C" w:rsidRDefault="003F26D7">
      <w:pPr>
        <w:jc w:val="both"/>
        <w:rPr>
          <w:rFonts w:ascii="Times New Roman" w:eastAsia="Calibri" w:hAnsi="Times New Roman"/>
          <w:noProof/>
          <w:sz w:val="24"/>
        </w:rPr>
      </w:pPr>
      <w:r>
        <w:rPr>
          <w:rFonts w:ascii="Times New Roman" w:hAnsi="Times New Roman"/>
          <w:noProof/>
          <w:sz w:val="24"/>
        </w:rPr>
        <w:t>Το 2018, σημειώθηκαν περισσότερες από 400 000 θετικές απαντήσεις σε σχέση με αρχεία δακτυλικών αποτυπωμάτων ατόμων που μετακινήθηκαν προς την επικράτεια άλλου κράτους μέλους, τα οποία ελέγχθηκαν με βάση τα αρχεία δακτυλικών αποτυπωμάτων που</w:t>
      </w:r>
      <w:r>
        <w:rPr>
          <w:rFonts w:ascii="Times New Roman" w:hAnsi="Times New Roman"/>
          <w:noProof/>
          <w:sz w:val="24"/>
        </w:rPr>
        <w:t xml:space="preserve"> ήταν αποθηκευμένα στη βάση δεδομένων Eurodac</w:t>
      </w:r>
      <w:r>
        <w:rPr>
          <w:rStyle w:val="FootnoteReference"/>
          <w:rFonts w:ascii="Times New Roman" w:hAnsi="Times New Roman"/>
          <w:noProof/>
          <w:sz w:val="24"/>
        </w:rPr>
        <w:footnoteReference w:id="14"/>
      </w:r>
      <w:r>
        <w:rPr>
          <w:noProof/>
        </w:rPr>
        <w:t>.</w:t>
      </w:r>
      <w:r>
        <w:rPr>
          <w:rFonts w:ascii="Times New Roman" w:hAnsi="Times New Roman"/>
          <w:noProof/>
          <w:sz w:val="24"/>
        </w:rPr>
        <w:t xml:space="preserve"> Η Γαλλία και η Γερμανία ήταν τα δύο κράτη μέλη με τον μεγαλύτερο αριθμό τέτοιου είδους θετικών απαντήσεων (στοιχείο που υποδεικνύει ότι πρόκειται για τις κυριότερες χώρες προορισμού των δευτερογενών μετακινήσ</w:t>
      </w:r>
      <w:r>
        <w:rPr>
          <w:rFonts w:ascii="Times New Roman" w:hAnsi="Times New Roman"/>
          <w:noProof/>
          <w:sz w:val="24"/>
        </w:rPr>
        <w:t>εων), ενώ η Ιταλία και η Ελλάδα είναι τα δύο κράτη μέλη με τους μεγαλύτερους αριθμούς υφιστάμενων αρχείων (στοιχείο που υποδεικνύει ότι πρόκειται για τις κυριότερες χώρες πρώτης εισόδου)</w:t>
      </w:r>
      <w:r>
        <w:rPr>
          <w:rStyle w:val="FootnoteReference"/>
          <w:rFonts w:ascii="Times New Roman" w:hAnsi="Times New Roman"/>
          <w:noProof/>
          <w:sz w:val="24"/>
        </w:rPr>
        <w:footnoteReference w:id="15"/>
      </w:r>
      <w:r>
        <w:rPr>
          <w:noProof/>
        </w:rPr>
        <w:t>.</w:t>
      </w:r>
      <w:r>
        <w:rPr>
          <w:rFonts w:ascii="Times New Roman" w:hAnsi="Times New Roman"/>
          <w:noProof/>
          <w:sz w:val="24"/>
        </w:rPr>
        <w:t> </w:t>
      </w:r>
    </w:p>
    <w:p w:rsidR="00835C9C" w:rsidRDefault="00835C9C">
      <w:pPr>
        <w:jc w:val="both"/>
        <w:rPr>
          <w:rFonts w:ascii="Times New Roman" w:eastAsia="Calibri" w:hAnsi="Times New Roman"/>
          <w:noProof/>
          <w:color w:val="1F497D" w:themeColor="text2"/>
          <w:sz w:val="24"/>
        </w:rPr>
      </w:pPr>
    </w:p>
    <w:p w:rsidR="00835C9C" w:rsidRDefault="00835C9C">
      <w:pPr>
        <w:jc w:val="both"/>
        <w:rPr>
          <w:rFonts w:ascii="Times New Roman" w:hAnsi="Times New Roman"/>
          <w:noProof/>
          <w:color w:val="1F497D" w:themeColor="text2"/>
          <w:sz w:val="24"/>
          <w:szCs w:val="24"/>
        </w:rPr>
      </w:pPr>
    </w:p>
    <w:p w:rsidR="00835C9C" w:rsidRDefault="003F26D7">
      <w:pPr>
        <w:pStyle w:val="ListParagraph"/>
        <w:numPr>
          <w:ilvl w:val="0"/>
          <w:numId w:val="2"/>
        </w:numPr>
        <w:rPr>
          <w:rFonts w:ascii="Times New Roman" w:hAnsi="Times New Roman"/>
          <w:b/>
          <w:noProof/>
          <w:sz w:val="24"/>
          <w:szCs w:val="24"/>
        </w:rPr>
      </w:pPr>
      <w:r>
        <w:rPr>
          <w:rFonts w:ascii="Times New Roman" w:hAnsi="Times New Roman"/>
          <w:b/>
          <w:noProof/>
          <w:sz w:val="24"/>
        </w:rPr>
        <w:t>ΑΜΕΣΕΣ ΔΡΑΣΕΙΣ</w:t>
      </w:r>
    </w:p>
    <w:p w:rsidR="00835C9C" w:rsidRDefault="00835C9C">
      <w:pPr>
        <w:pStyle w:val="ListParagraph"/>
        <w:ind w:left="0"/>
        <w:jc w:val="both"/>
        <w:rPr>
          <w:rFonts w:ascii="Times New Roman" w:hAnsi="Times New Roman"/>
          <w:b/>
          <w:i/>
          <w:noProof/>
          <w:sz w:val="24"/>
          <w:szCs w:val="24"/>
        </w:rPr>
      </w:pPr>
    </w:p>
    <w:p w:rsidR="00835C9C" w:rsidRDefault="003F26D7">
      <w:pPr>
        <w:pStyle w:val="ListParagraph"/>
        <w:spacing w:after="120"/>
        <w:ind w:left="0"/>
        <w:contextualSpacing w:val="0"/>
        <w:jc w:val="both"/>
        <w:rPr>
          <w:rFonts w:ascii="Times New Roman" w:hAnsi="Times New Roman"/>
          <w:i/>
          <w:noProof/>
          <w:sz w:val="24"/>
          <w:szCs w:val="24"/>
        </w:rPr>
      </w:pPr>
      <w:r>
        <w:rPr>
          <w:rFonts w:ascii="Times New Roman" w:hAnsi="Times New Roman"/>
          <w:i/>
          <w:noProof/>
          <w:sz w:val="24"/>
        </w:rPr>
        <w:t>Διαδρομή της Δυτικής</w:t>
      </w:r>
      <w:r>
        <w:rPr>
          <w:rFonts w:ascii="Times New Roman" w:hAnsi="Times New Roman"/>
          <w:noProof/>
          <w:sz w:val="24"/>
        </w:rPr>
        <w:t xml:space="preserve"> </w:t>
      </w:r>
      <w:r>
        <w:rPr>
          <w:rFonts w:ascii="Times New Roman" w:hAnsi="Times New Roman"/>
          <w:i/>
          <w:noProof/>
          <w:sz w:val="24"/>
        </w:rPr>
        <w:t>Μεσογείου: Συνεργασία με το</w:t>
      </w:r>
      <w:r>
        <w:rPr>
          <w:rFonts w:ascii="Times New Roman" w:hAnsi="Times New Roman"/>
          <w:i/>
          <w:noProof/>
          <w:sz w:val="24"/>
        </w:rPr>
        <w:t xml:space="preserve"> Μαρόκο</w:t>
      </w:r>
    </w:p>
    <w:p w:rsidR="00835C9C" w:rsidRDefault="003F26D7">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Καθώς η Ισπανία αποτελεί πλέον το πρωταρχικό σημείο εισόδου για τις παράτυπες διελεύσεις, τα μέτρα για την αντιμετώπιση της μετανάστευσης κατά μήκος της διαδρομής της Δυτικής Μεσογείου πρέπει να αποτελέσουν κορυφαία προτεραιότητα για την ΕΕ. Η ΕΕ έ</w:t>
      </w:r>
      <w:r>
        <w:rPr>
          <w:rFonts w:ascii="Times New Roman" w:hAnsi="Times New Roman"/>
          <w:noProof/>
          <w:color w:val="000000"/>
          <w:sz w:val="24"/>
        </w:rPr>
        <w:t>χει θέσει τα θεμέλια για την ανάπτυξη στενής συνεργασίας με το Μαρόκο. Στο τέλος του 2018, ενέκρινε 140 εκατ. EUR για στήριξη της διαχείρισης των συνόρων και δημοσιονομική στήριξη</w:t>
      </w:r>
      <w:r>
        <w:rPr>
          <w:rStyle w:val="FootnoteReference"/>
          <w:rFonts w:ascii="Times New Roman" w:hAnsi="Times New Roman"/>
          <w:noProof/>
          <w:color w:val="000000"/>
          <w:sz w:val="24"/>
        </w:rPr>
        <w:footnoteReference w:id="16"/>
      </w:r>
      <w:r>
        <w:rPr>
          <w:noProof/>
        </w:rPr>
        <w:t>.</w:t>
      </w:r>
      <w:r>
        <w:rPr>
          <w:rFonts w:ascii="Times New Roman" w:hAnsi="Times New Roman"/>
          <w:noProof/>
          <w:color w:val="000000"/>
          <w:sz w:val="24"/>
        </w:rPr>
        <w:t xml:space="preserve"> Το Μαρόκο εργάζεται ήδη για την ενίσχυση των ελέγχων στα σύνορά του και έχ</w:t>
      </w:r>
      <w:r>
        <w:rPr>
          <w:rFonts w:ascii="Times New Roman" w:hAnsi="Times New Roman"/>
          <w:noProof/>
          <w:color w:val="000000"/>
          <w:sz w:val="24"/>
        </w:rPr>
        <w:t>ει αποτρέψει μεγάλο αριθμό αναχωρήσεων</w:t>
      </w:r>
      <w:r>
        <w:rPr>
          <w:rStyle w:val="FootnoteReference"/>
          <w:rFonts w:ascii="Times New Roman" w:hAnsi="Times New Roman"/>
          <w:noProof/>
          <w:color w:val="000000"/>
          <w:sz w:val="24"/>
        </w:rPr>
        <w:footnoteReference w:id="17"/>
      </w:r>
      <w:r>
        <w:rPr>
          <w:noProof/>
        </w:rPr>
        <w:t>.</w:t>
      </w:r>
      <w:r>
        <w:rPr>
          <w:rFonts w:ascii="Times New Roman" w:hAnsi="Times New Roman"/>
          <w:noProof/>
          <w:color w:val="000000"/>
          <w:sz w:val="24"/>
        </w:rPr>
        <w:t xml:space="preserve"> Τα εν λόγω μέτρα της ΕΕ θα στηρίξουν τη διαδικασία αυτή. Οι πρώτες πληρωμές έχουν πραγματοποιηθεί και έχουν προκηρυχθεί διαγωνισμοί για την αγορά του βασικού εξοπλισμού: οι τελευταίες συμβάσεις στο πλαίσιο αυτής της</w:t>
      </w:r>
      <w:r>
        <w:rPr>
          <w:rFonts w:ascii="Times New Roman" w:hAnsi="Times New Roman"/>
          <w:noProof/>
          <w:color w:val="000000"/>
          <w:sz w:val="24"/>
        </w:rPr>
        <w:t xml:space="preserve"> δέσμης θα υπογραφούν τον Απρίλιο και θα πρέπει να συνεχιστεί η υλοποίηση επιτόπου. Αυτό θα συμπληρώσει επίσης την υλοποίηση της βοήθειας έκτακτης ανάγκης ύψους 36 εκατ. EUR που συμφωνήθηκε το 2018 προς συνδρομή της Ισπανίας στη διαχείριση των νότιων συνόρ</w:t>
      </w:r>
      <w:r>
        <w:rPr>
          <w:rFonts w:ascii="Times New Roman" w:hAnsi="Times New Roman"/>
          <w:noProof/>
          <w:color w:val="000000"/>
          <w:sz w:val="24"/>
        </w:rPr>
        <w:t xml:space="preserve">ων της. Η ΕΕ στηρίζει επίσης την Ισπανία μέσω της επιχείρησης «Indalo». Η Επιτροπή είναι έτοιμη να παράσχει στην Ισπανία κάθε είδους χρηματοδοτική και τεχνική στήριξη που χρειάζεται για να διαχειριστεί τις αφίξεις.  </w:t>
      </w:r>
    </w:p>
    <w:p w:rsidR="00835C9C" w:rsidRDefault="00835C9C">
      <w:pPr>
        <w:pStyle w:val="ListParagraph"/>
        <w:ind w:left="0"/>
        <w:jc w:val="both"/>
        <w:rPr>
          <w:rFonts w:ascii="Times New Roman" w:hAnsi="Times New Roman"/>
          <w:noProof/>
          <w:color w:val="000000"/>
          <w:sz w:val="24"/>
          <w:szCs w:val="24"/>
        </w:rPr>
      </w:pPr>
    </w:p>
    <w:p w:rsidR="00835C9C" w:rsidRDefault="003F26D7">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Γενικότερα, η ΕΕ καταβάλλει προσπάθειε</w:t>
      </w:r>
      <w:r>
        <w:rPr>
          <w:rFonts w:ascii="Times New Roman" w:hAnsi="Times New Roman"/>
          <w:noProof/>
          <w:color w:val="000000"/>
          <w:sz w:val="24"/>
        </w:rPr>
        <w:t>ς για να αναπτύξει περαιτέρω τις σχέσεις της με το Μαρόκο προκειμένου να διαμορφώσει μια πιο στενή, βαθιά και φιλόδοξη εταιρική σχέση. Η κινητικότητα και η μετανάστευση θα διαδραματίσουν σημαντικό ρόλο, μέσω ενός συνδυασμού δημοσιονομικής στήριξης, στενότε</w:t>
      </w:r>
      <w:r>
        <w:rPr>
          <w:rFonts w:ascii="Times New Roman" w:hAnsi="Times New Roman"/>
          <w:noProof/>
          <w:color w:val="000000"/>
          <w:sz w:val="24"/>
        </w:rPr>
        <w:t>ρων επαφών μεταξύ εμπειρογνωμόνων και επιχειρησιακής συνεργασίας, μεταξύ άλλων και με τη στήριξη του Ευρωπαϊκού Οργανισμού Συνοριοφυλακής και Ακτοφυλακής. Στο πλαίσιο αυτό θα πρέπει επίσης να ενταχθεί η επανέναρξη των διαπραγματεύσεων σχετικά με την επανει</w:t>
      </w:r>
      <w:r>
        <w:rPr>
          <w:rFonts w:ascii="Times New Roman" w:hAnsi="Times New Roman"/>
          <w:noProof/>
          <w:color w:val="000000"/>
          <w:sz w:val="24"/>
        </w:rPr>
        <w:t>σδοχή και τη διευκόλυνση χορήγησης θεωρήσεων, καθώς και σχετικά με τη νόμιμη μετανάστευση. Η αντιμετώπιση των μεταναστευτικών ροών και η καταπολέμηση των διαδρομών λαθραίας διακίνησης προς το Μαρόκο από τις γειτονικές του χώρες θα πρέπει επίσης να αποτελέσ</w:t>
      </w:r>
      <w:r>
        <w:rPr>
          <w:rFonts w:ascii="Times New Roman" w:hAnsi="Times New Roman"/>
          <w:noProof/>
          <w:color w:val="000000"/>
          <w:sz w:val="24"/>
        </w:rPr>
        <w:t xml:space="preserve">ει μέρος της στενότερης αυτής συνεργασίας. </w:t>
      </w:r>
    </w:p>
    <w:p w:rsidR="00835C9C" w:rsidRDefault="00835C9C">
      <w:pPr>
        <w:pStyle w:val="ListParagraph"/>
        <w:ind w:left="0"/>
        <w:jc w:val="both"/>
        <w:rPr>
          <w:rFonts w:ascii="Times New Roman" w:hAnsi="Times New Roman"/>
          <w:noProof/>
          <w:color w:val="000000"/>
          <w:sz w:val="24"/>
          <w:szCs w:val="24"/>
        </w:rPr>
      </w:pPr>
    </w:p>
    <w:p w:rsidR="00835C9C" w:rsidRDefault="003F26D7">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Πέραν της άμεσης στήριξης προς το Μαρόκο, το Καταπιστευματικό Ταμείο Έκτακτης Ανάγκης της ΕΕ για την Αφρική</w:t>
      </w:r>
      <w:r>
        <w:rPr>
          <w:rStyle w:val="FootnoteReference"/>
          <w:rFonts w:ascii="Times New Roman" w:hAnsi="Times New Roman"/>
          <w:noProof/>
          <w:color w:val="000000"/>
          <w:sz w:val="24"/>
        </w:rPr>
        <w:footnoteReference w:id="18"/>
      </w:r>
      <w:r>
        <w:rPr>
          <w:rFonts w:ascii="Times New Roman" w:hAnsi="Times New Roman"/>
          <w:noProof/>
          <w:color w:val="000000"/>
          <w:sz w:val="24"/>
        </w:rPr>
        <w:t xml:space="preserve"> εργάζεται για την ανάπτυξη της συνεργασίας κατά μήκος ολόκληρης της διαδρομής της Δυτικής Μεσογείου. Έ</w:t>
      </w:r>
      <w:r>
        <w:rPr>
          <w:rFonts w:ascii="Times New Roman" w:hAnsi="Times New Roman"/>
          <w:noProof/>
          <w:color w:val="000000"/>
          <w:sz w:val="24"/>
        </w:rPr>
        <w:t>να νέο διασυνοριακό πρόγραμμα συνεργασίας αξίας 8,6 εκατ. EUR ενισχύει τη συντονισμένη διακυβέρνηση της μετανάστευσης μεταξύ του Μαρόκου, της Σενεγάλης, του Μάλι και της Ακτής Ελεφαντοστού, στηρίζοντας την εντατικοποίηση των διαλόγων περιφερειακής πολιτική</w:t>
      </w:r>
      <w:r>
        <w:rPr>
          <w:rFonts w:ascii="Times New Roman" w:hAnsi="Times New Roman"/>
          <w:noProof/>
          <w:color w:val="000000"/>
          <w:sz w:val="24"/>
        </w:rPr>
        <w:t xml:space="preserve">ς για τη μετανάστευση. Στο τέλος του 2018 εγκρίθηκε ειδικό πρόγραμμα δημοσιονομικής στήριξης </w:t>
      </w:r>
      <w:r>
        <w:rPr>
          <w:rFonts w:ascii="Times New Roman" w:hAnsi="Times New Roman"/>
          <w:noProof/>
          <w:color w:val="000000"/>
          <w:sz w:val="24"/>
          <w:szCs w:val="24"/>
        </w:rPr>
        <w:t>για τη Μαυριτανία με σκοπό τη στήριξη της εθνικής αναπτυξιακής στρατηγικής, με ιδιαίτερη έμφαση στην προστασία των μεταναστών και στην ασφάλεια στη θάλασσα</w:t>
      </w:r>
      <w:r>
        <w:rPr>
          <w:rStyle w:val="FootnoteReference"/>
          <w:rFonts w:ascii="Times New Roman" w:hAnsi="Times New Roman"/>
          <w:noProof/>
          <w:color w:val="000000"/>
          <w:sz w:val="24"/>
          <w:szCs w:val="24"/>
        </w:rPr>
        <w:footnoteReference w:id="19"/>
      </w:r>
      <w:r>
        <w:rPr>
          <w:rFonts w:ascii="Times New Roman" w:hAnsi="Times New Roman"/>
          <w:noProof/>
          <w:sz w:val="24"/>
          <w:szCs w:val="24"/>
        </w:rPr>
        <w:t>.</w:t>
      </w:r>
      <w:r>
        <w:rPr>
          <w:rFonts w:ascii="Times New Roman" w:hAnsi="Times New Roman"/>
          <w:noProof/>
          <w:color w:val="000000"/>
          <w:sz w:val="24"/>
          <w:szCs w:val="24"/>
        </w:rPr>
        <w:t xml:space="preserve"> </w:t>
      </w:r>
      <w:r>
        <w:rPr>
          <w:rFonts w:ascii="Times New Roman" w:hAnsi="Times New Roman"/>
          <w:noProof/>
          <w:sz w:val="24"/>
          <w:szCs w:val="24"/>
        </w:rPr>
        <w:t>Το σκ</w:t>
      </w:r>
      <w:r>
        <w:rPr>
          <w:rFonts w:ascii="Times New Roman" w:hAnsi="Times New Roman"/>
          <w:noProof/>
          <w:sz w:val="24"/>
          <w:szCs w:val="24"/>
        </w:rPr>
        <w:t>έλος Βόρειας Αφρικής του Καταπιστευματικού Ταμείου θα πρέπει σύντομα να ανατροφοδοτηθεί με 120 εκατ. EUR από τον προϋπολογισμό της ΕΕ</w:t>
      </w:r>
      <w:r>
        <w:rPr>
          <w:rStyle w:val="FootnoteReference"/>
          <w:rFonts w:ascii="Times New Roman" w:hAnsi="Times New Roman"/>
          <w:noProof/>
          <w:color w:val="000000"/>
          <w:sz w:val="24"/>
        </w:rPr>
        <w:footnoteReference w:id="20"/>
      </w:r>
      <w:r>
        <w:rPr>
          <w:noProof/>
        </w:rPr>
        <w:t>.</w:t>
      </w:r>
      <w:r>
        <w:rPr>
          <w:rFonts w:ascii="Times New Roman" w:hAnsi="Times New Roman"/>
          <w:noProof/>
          <w:color w:val="000000"/>
          <w:sz w:val="24"/>
        </w:rPr>
        <w:t xml:space="preserve"> Ωστόσο, οι τρέχουσες εκκρεμότητες –συμπεριλαμβανομένων των απαραίτητων συμπληρωματικών ενισχύσεων για τα υπό εξέλιξη προ</w:t>
      </w:r>
      <w:r>
        <w:rPr>
          <w:rFonts w:ascii="Times New Roman" w:hAnsi="Times New Roman"/>
          <w:noProof/>
          <w:color w:val="000000"/>
          <w:sz w:val="24"/>
        </w:rPr>
        <w:t>γράμματα στη Λιβύη καθώς και στο Μαρόκο– υποδεικνύουν την έλλειψη ποσού έως 86 εκατ. EUR για το 2019. Θα απαιτηθεί η συνεισφορά των κρατών μελών για να διασφαλιστεί η συνέχιση των εργασιών αυτών.</w:t>
      </w:r>
    </w:p>
    <w:p w:rsidR="00835C9C" w:rsidRDefault="00835C9C">
      <w:pPr>
        <w:pStyle w:val="ListParagraph"/>
        <w:ind w:left="0"/>
        <w:jc w:val="both"/>
        <w:rPr>
          <w:rFonts w:ascii="Times New Roman" w:hAnsi="Times New Roman"/>
          <w:noProof/>
          <w:color w:val="000000"/>
          <w:sz w:val="24"/>
          <w:szCs w:val="24"/>
        </w:rPr>
      </w:pPr>
    </w:p>
    <w:p w:rsidR="00835C9C" w:rsidRDefault="003F26D7">
      <w:pPr>
        <w:spacing w:after="120"/>
        <w:rPr>
          <w:rFonts w:ascii="Times New Roman" w:hAnsi="Times New Roman"/>
          <w:i/>
          <w:noProof/>
          <w:sz w:val="24"/>
          <w:szCs w:val="24"/>
        </w:rPr>
      </w:pPr>
      <w:r>
        <w:rPr>
          <w:rFonts w:ascii="Times New Roman" w:hAnsi="Times New Roman"/>
          <w:i/>
          <w:noProof/>
          <w:sz w:val="24"/>
        </w:rPr>
        <w:t xml:space="preserve">Διαδρομή της Κεντρικής Μεσογείου: Βελτίωση των συνθηκών στη Λιβύη </w:t>
      </w:r>
    </w:p>
    <w:p w:rsidR="00835C9C" w:rsidRDefault="003F26D7">
      <w:pPr>
        <w:jc w:val="both"/>
        <w:rPr>
          <w:rFonts w:ascii="Times New Roman" w:hAnsi="Times New Roman"/>
          <w:noProof/>
          <w:color w:val="000000"/>
          <w:sz w:val="24"/>
          <w:szCs w:val="24"/>
        </w:rPr>
      </w:pPr>
      <w:r>
        <w:rPr>
          <w:rFonts w:ascii="Times New Roman" w:hAnsi="Times New Roman"/>
          <w:noProof/>
          <w:color w:val="000000"/>
          <w:sz w:val="24"/>
          <w:szCs w:val="24"/>
        </w:rPr>
        <w:t xml:space="preserve">Η ανάγκη παροχής βοήθειας στα άτομα που έχουν εγκλωβιστεί στη Λιβύη είναι ιδιαιτέρως επείγουσα. Προκειμένου να διασφαλιστούν πιο ανθρώπινες συνθήκες, πρέπει να καταβληθούν προσπάθειες </w:t>
      </w:r>
      <w:r>
        <w:rPr>
          <w:rFonts w:ascii="Times New Roman" w:hAnsi="Times New Roman"/>
          <w:noProof/>
          <w:sz w:val="24"/>
          <w:szCs w:val="24"/>
        </w:rPr>
        <w:t>για υ</w:t>
      </w:r>
      <w:r>
        <w:rPr>
          <w:rFonts w:ascii="Times New Roman" w:hAnsi="Times New Roman"/>
          <w:noProof/>
          <w:sz w:val="24"/>
          <w:szCs w:val="24"/>
        </w:rPr>
        <w:t>ιοθέτηση εναλλακτικών λύσεων αντί της κράτησης, για περισσότερο ομαλή και διαφανή διαχείριση των μεταναστών και των προσφύγων στη Λιβύη και για την παροχή βοήθειας ώστε οι άνθρωποι να επιστρέφουν στις χώρες τους με ασφάλεια, ή να βρίσκουν προστασία στην Ευ</w:t>
      </w:r>
      <w:r>
        <w:rPr>
          <w:rFonts w:ascii="Times New Roman" w:hAnsi="Times New Roman"/>
          <w:noProof/>
          <w:sz w:val="24"/>
          <w:szCs w:val="24"/>
        </w:rPr>
        <w:t>ρώπη ή αλλού. Ειδική προτεραιότητα πρέπει να δοθεί στις ευάλωτες ομάδες, και στα πρόσωπα που βρίσκονται σε κέντρα κράτησης: εκτιμάται ότι 6 200 μετανάστες κρατούνται επί του παρόντος στη Λιβύη σε κέντρα που ελέγχονται από την κυβέρνηση εθνικής ενότητας</w:t>
      </w:r>
      <w:r>
        <w:rPr>
          <w:rStyle w:val="FootnoteReference"/>
          <w:rFonts w:ascii="Times New Roman" w:hAnsi="Times New Roman"/>
          <w:noProof/>
          <w:sz w:val="24"/>
        </w:rPr>
        <w:footnoteReference w:id="21"/>
      </w:r>
      <w:r>
        <w:rPr>
          <w:noProof/>
        </w:rPr>
        <w:t>.</w:t>
      </w:r>
    </w:p>
    <w:p w:rsidR="00835C9C" w:rsidRDefault="00835C9C">
      <w:pPr>
        <w:pStyle w:val="ListParagraph"/>
        <w:jc w:val="both"/>
        <w:rPr>
          <w:rFonts w:ascii="Times New Roman" w:hAnsi="Times New Roman"/>
          <w:noProof/>
          <w:color w:val="000000"/>
          <w:sz w:val="24"/>
          <w:szCs w:val="24"/>
        </w:rPr>
      </w:pPr>
    </w:p>
    <w:p w:rsidR="00835C9C" w:rsidRDefault="003F26D7">
      <w:pPr>
        <w:contextualSpacing/>
        <w:jc w:val="both"/>
        <w:rPr>
          <w:rFonts w:ascii="Times New Roman" w:hAnsi="Times New Roman"/>
          <w:noProof/>
          <w:sz w:val="24"/>
          <w:szCs w:val="24"/>
        </w:rPr>
      </w:pPr>
      <w:r>
        <w:rPr>
          <w:rFonts w:ascii="Times New Roman" w:hAnsi="Times New Roman"/>
          <w:noProof/>
          <w:sz w:val="24"/>
        </w:rPr>
        <w:t>Δεδομένων των περιορισμών λόγω της τρέχουσας κατάστασης όσον αφορά την ασφάλεια, το θέμα αυτό αποτελεί το επίκεντρο της συνεργασίας με την Ύπατη Αρμοστεία των Ηνωμένων Εθνών για τους Πρόσφυγες (UNHCR) και τον Διεθνή Οργανισμό Μετανάστευσης, καθώς και στο π</w:t>
      </w:r>
      <w:r>
        <w:rPr>
          <w:rFonts w:ascii="Times New Roman" w:hAnsi="Times New Roman"/>
          <w:noProof/>
          <w:sz w:val="24"/>
        </w:rPr>
        <w:t>λαίσιο της τριμερούς ομάδας δράσης μεταξύ της Αφρικανικής Ένωσης, της Ευρωπαϊκής Ένωσης και των Ηνωμένων Εθνών. Η συνεργασία αυτή έχει ήδη οδηγήσει σε περισσότερες από 37 000 επιστροφές ανθρώπων στις χώρες τους μέσω προγραμμάτων υποστηριζόμενης οικειοθελού</w:t>
      </w:r>
      <w:r>
        <w:rPr>
          <w:rFonts w:ascii="Times New Roman" w:hAnsi="Times New Roman"/>
          <w:noProof/>
          <w:sz w:val="24"/>
        </w:rPr>
        <w:t>ς επιστροφής, ενώ σχεδόν 2 500 άτομα απομακρύνθηκαν από τη Λιβύη προς τον Νίγηρα μέσω του μηχανισμού έκτακτης διέλευσης της UNHCR</w:t>
      </w:r>
      <w:r>
        <w:rPr>
          <w:rStyle w:val="FootnoteReference"/>
          <w:rFonts w:ascii="Times New Roman" w:hAnsi="Times New Roman"/>
          <w:noProof/>
          <w:sz w:val="24"/>
        </w:rPr>
        <w:footnoteReference w:id="22"/>
      </w:r>
      <w:r>
        <w:rPr>
          <w:noProof/>
        </w:rPr>
        <w:t>.</w:t>
      </w:r>
      <w:r>
        <w:rPr>
          <w:rFonts w:ascii="Times New Roman" w:hAnsi="Times New Roman"/>
          <w:noProof/>
          <w:sz w:val="24"/>
        </w:rPr>
        <w:t xml:space="preserve"> Περισσότερα από 1 200 από τα άτομα αυτά έχουν πλέον επανεγκατασταθεί και βασικό επόμενο βήμα για τα κράτη μέλη είναι η επανε</w:t>
      </w:r>
      <w:r>
        <w:rPr>
          <w:rFonts w:ascii="Times New Roman" w:hAnsi="Times New Roman"/>
          <w:noProof/>
          <w:sz w:val="24"/>
        </w:rPr>
        <w:t>γκατάσταση των ατόμων που παραμένουν σε αναμονή στον Νίγηρα. Η ομάδα δράσης θα συνεχίσει να παροτρύνει τις λιβυκές αρχές να διευκολύνουν το έργο αυτό, εστιάζοντας ιδιαίτερα στη μείωση της ανάγκης θεωρήσεων εξόδου και τελών προσγείωσης.</w:t>
      </w:r>
    </w:p>
    <w:p w:rsidR="00835C9C" w:rsidRDefault="00835C9C">
      <w:pPr>
        <w:autoSpaceDE w:val="0"/>
        <w:autoSpaceDN w:val="0"/>
        <w:adjustRightInd w:val="0"/>
        <w:jc w:val="both"/>
        <w:rPr>
          <w:rFonts w:ascii="Times New Roman" w:hAnsi="Times New Roman"/>
          <w:noProof/>
          <w:sz w:val="24"/>
          <w:szCs w:val="24"/>
        </w:rPr>
      </w:pPr>
    </w:p>
    <w:p w:rsidR="00835C9C" w:rsidRDefault="003F26D7">
      <w:pPr>
        <w:autoSpaceDE w:val="0"/>
        <w:autoSpaceDN w:val="0"/>
        <w:adjustRightInd w:val="0"/>
        <w:jc w:val="both"/>
        <w:rPr>
          <w:rFonts w:ascii="Times New Roman" w:hAnsi="Times New Roman"/>
          <w:noProof/>
          <w:sz w:val="24"/>
          <w:szCs w:val="24"/>
        </w:rPr>
      </w:pPr>
      <w:r>
        <w:rPr>
          <w:rFonts w:ascii="Times New Roman" w:hAnsi="Times New Roman"/>
          <w:noProof/>
          <w:sz w:val="24"/>
          <w:szCs w:val="24"/>
        </w:rPr>
        <w:t>Απαιτούνται περαιτέ</w:t>
      </w:r>
      <w:r>
        <w:rPr>
          <w:rFonts w:ascii="Times New Roman" w:hAnsi="Times New Roman"/>
          <w:noProof/>
          <w:sz w:val="24"/>
          <w:szCs w:val="24"/>
        </w:rPr>
        <w:t>ρω εργασίες για την αντιμετώπιση των άθλιων συνθηκών με τις οποίες έρχονται αντιμέτωποι πολλοί μετανάστες και πρόσφυγες. Από το 2016, το Καταπιστευματικό Ταμείο έχει διαθέσει σχεδόν 135 εκατ. EUR για την προστασία των μεταναστών στη Λιβύη, και η προσπάθεια</w:t>
      </w:r>
      <w:r>
        <w:rPr>
          <w:rFonts w:ascii="Times New Roman" w:hAnsi="Times New Roman"/>
          <w:noProof/>
          <w:sz w:val="24"/>
          <w:szCs w:val="24"/>
        </w:rPr>
        <w:t xml:space="preserve"> αυτή πρέπει να συνεχιστεί. Στις εργασίες αυτές περιλαμβάνεται η βοήθεια κατά την αποβίβαση, καθώς και κατά την καταγραφή και την ιχνηλασιμότητα των ατόμων που αποβιβάζονται. Επί του παρόντος βρίσκονται σε εξέλιξη έργα για τη βελτίωση των διαδικασιών και τ</w:t>
      </w:r>
      <w:r>
        <w:rPr>
          <w:rFonts w:ascii="Times New Roman" w:hAnsi="Times New Roman"/>
          <w:noProof/>
          <w:sz w:val="24"/>
          <w:szCs w:val="24"/>
        </w:rPr>
        <w:t>ων συνθηκών πρώτα σε αυτό το βασικό στάδιο, καθώς και μετά τη μεταφορά στα κέντρα κράτησης. Τον Δεκέμβριο του 2018, οι λιβυκές αρχές ενέκριναν επίσης την έναρξη λειτουργίας της εγκατάστασης συγκέντρωσης και αναχώρησης της UNHCR (Gathering and Departure Fac</w:t>
      </w:r>
      <w:r>
        <w:rPr>
          <w:rFonts w:ascii="Times New Roman" w:hAnsi="Times New Roman"/>
          <w:noProof/>
          <w:sz w:val="24"/>
          <w:szCs w:val="24"/>
        </w:rPr>
        <w:t>ility), ως κόμβου για την παροχή βοήθειας σε πρόσφυγες και αιτούντες άσυλο ώστε να απομακρύνονται γρήγορα. Αυτό θα μπορούσε επίσης να χρησιμεύσει ως προσωρινή λύση για ασυνόδευτους ανηλίκους και άλλες ευάλωτες ομάδες. Η ΕΕ θα εξακολουθήσει να ασκεί πίεση μ</w:t>
      </w:r>
      <w:r>
        <w:rPr>
          <w:rFonts w:ascii="Times New Roman" w:hAnsi="Times New Roman"/>
          <w:noProof/>
          <w:sz w:val="24"/>
          <w:szCs w:val="24"/>
        </w:rPr>
        <w:t>ε σκοπό τη διασφάλιση της απρόσκοπτης και τακτικής πρόσβασης των ανθρωπιστικών οργανώσεων και των οργανισμών του ΟΗΕ, τη βελτίωση των συνθηκών στα κέντρα κράτησης, την αύξηση των εναλλακτικών επιλογών αντί της κράτησης και, εντέλει, την κατάργηση του τρέχο</w:t>
      </w:r>
      <w:r>
        <w:rPr>
          <w:rFonts w:ascii="Times New Roman" w:hAnsi="Times New Roman"/>
          <w:noProof/>
          <w:sz w:val="24"/>
          <w:szCs w:val="24"/>
        </w:rPr>
        <w:t xml:space="preserve">ντος συστήματος κράτησης. </w:t>
      </w:r>
    </w:p>
    <w:p w:rsidR="00835C9C" w:rsidRDefault="00835C9C">
      <w:pPr>
        <w:autoSpaceDE w:val="0"/>
        <w:autoSpaceDN w:val="0"/>
        <w:adjustRightInd w:val="0"/>
        <w:jc w:val="both"/>
        <w:rPr>
          <w:rFonts w:ascii="Times New Roman" w:hAnsi="Times New Roman"/>
          <w:noProof/>
          <w:sz w:val="24"/>
          <w:szCs w:val="24"/>
        </w:rPr>
      </w:pPr>
    </w:p>
    <w:p w:rsidR="00835C9C" w:rsidRDefault="003F26D7">
      <w:pPr>
        <w:autoSpaceDE w:val="0"/>
        <w:autoSpaceDN w:val="0"/>
        <w:adjustRightInd w:val="0"/>
        <w:jc w:val="both"/>
        <w:rPr>
          <w:rFonts w:ascii="Times New Roman" w:hAnsi="Times New Roman"/>
          <w:noProof/>
          <w:sz w:val="24"/>
          <w:szCs w:val="24"/>
        </w:rPr>
      </w:pPr>
      <w:r>
        <w:rPr>
          <w:rFonts w:ascii="Times New Roman" w:hAnsi="Times New Roman"/>
          <w:noProof/>
          <w:sz w:val="24"/>
        </w:rPr>
        <w:t>Δεδομένου ότι μικρό μόνον ποσοστό των μεταναστών στη Λιβύη κρατούνται σε κέντρα που ελέγχονται από την κυβέρνηση, είναι ουσιώδης η παροχή στήριξης στις τοπικές κοινότητες. Η υγειονομική περίθαλψη, η σχολική φοίτηση και οι βασικέ</w:t>
      </w:r>
      <w:r>
        <w:rPr>
          <w:rFonts w:ascii="Times New Roman" w:hAnsi="Times New Roman"/>
          <w:noProof/>
          <w:sz w:val="24"/>
        </w:rPr>
        <w:t xml:space="preserve">ς κοινωνικές υποδομές λαμβάνουν στήριξη από προγράμματα της ΕΕ. Το 2018, εγκρίθηκαν τέσσερα νέα προγράμματα στη Λιβύη βάσει του Καταπιστευματικού Ταμείου της ΕΕ για την Αφρική, με συνολικό ποσό ύψους 156 εκατ. EUR. </w:t>
      </w:r>
    </w:p>
    <w:p w:rsidR="00835C9C" w:rsidRDefault="00835C9C">
      <w:pPr>
        <w:autoSpaceDE w:val="0"/>
        <w:autoSpaceDN w:val="0"/>
        <w:adjustRightInd w:val="0"/>
        <w:jc w:val="both"/>
        <w:rPr>
          <w:rFonts w:ascii="Times New Roman" w:hAnsi="Times New Roman"/>
          <w:noProof/>
          <w:sz w:val="24"/>
          <w:szCs w:val="24"/>
        </w:rPr>
      </w:pPr>
    </w:p>
    <w:p w:rsidR="00835C9C" w:rsidRDefault="003F26D7">
      <w:pPr>
        <w:autoSpaceDE w:val="0"/>
        <w:autoSpaceDN w:val="0"/>
        <w:adjustRightInd w:val="0"/>
        <w:jc w:val="both"/>
        <w:rPr>
          <w:rFonts w:ascii="Times New Roman" w:hAnsi="Times New Roman"/>
          <w:noProof/>
          <w:sz w:val="24"/>
          <w:szCs w:val="24"/>
        </w:rPr>
      </w:pPr>
      <w:r>
        <w:rPr>
          <w:rFonts w:ascii="Times New Roman" w:hAnsi="Times New Roman"/>
          <w:noProof/>
          <w:sz w:val="24"/>
        </w:rPr>
        <w:t>Περίπου 90 000 πρόσφυγες και ευάλωτοι μ</w:t>
      </w:r>
      <w:r>
        <w:rPr>
          <w:rFonts w:ascii="Times New Roman" w:hAnsi="Times New Roman"/>
          <w:noProof/>
          <w:sz w:val="24"/>
        </w:rPr>
        <w:t>ετανάστες έχουν λάβει ιατρική βοήθεια μέσω πρωτοβάθμιας και εξειδικευμένης υγειονομικής περίθαλψης, ιατρικών επισκέψεων και ιατρικών εξετάσεων. Οι εργασίες θα εντατικοποιηθούν και προτεραιότητα θα δοθεί στις υποστηριζόμενες οικειοθελείς επιστροφές, στην επ</w:t>
      </w:r>
      <w:r>
        <w:rPr>
          <w:rFonts w:ascii="Times New Roman" w:hAnsi="Times New Roman"/>
          <w:noProof/>
          <w:sz w:val="24"/>
        </w:rPr>
        <w:t>ιτάχυνση των απομακρύνσεων ανηλίκων και άλλων ευάλωτων ατόμων, στη βελτίωση των συνθηκών κράτησης και στην προώθηση εναλλακτικών επιλογών αντί της κράτησης. Παράλληλα, ανθρωπιστική βοήθεια από την ΕΕ στη Λιβύη έχει χορηγηθεί σε περίπου 700 000 από τα πλέον</w:t>
      </w:r>
      <w:r>
        <w:rPr>
          <w:rFonts w:ascii="Times New Roman" w:hAnsi="Times New Roman"/>
          <w:noProof/>
          <w:sz w:val="24"/>
        </w:rPr>
        <w:t xml:space="preserve"> ευάλωτα άτομα που έχουν πληγεί από τη σύγκρουση, συμπεριλαμβανομένων των εκτοπισθέντων στο εσωτερικό της χώρας.</w:t>
      </w:r>
    </w:p>
    <w:p w:rsidR="00835C9C" w:rsidRDefault="00835C9C">
      <w:pPr>
        <w:autoSpaceDE w:val="0"/>
        <w:autoSpaceDN w:val="0"/>
        <w:adjustRightInd w:val="0"/>
        <w:jc w:val="both"/>
        <w:rPr>
          <w:rFonts w:ascii="Times New Roman" w:hAnsi="Times New Roman"/>
          <w:noProof/>
          <w:sz w:val="24"/>
          <w:szCs w:val="24"/>
        </w:rPr>
      </w:pPr>
    </w:p>
    <w:p w:rsidR="00835C9C" w:rsidRDefault="003F26D7">
      <w:pPr>
        <w:spacing w:after="120"/>
        <w:jc w:val="both"/>
        <w:rPr>
          <w:rFonts w:ascii="Times New Roman" w:hAnsi="Times New Roman"/>
          <w:i/>
          <w:noProof/>
          <w:sz w:val="24"/>
          <w:szCs w:val="24"/>
        </w:rPr>
      </w:pPr>
      <w:r>
        <w:rPr>
          <w:rFonts w:ascii="Times New Roman" w:hAnsi="Times New Roman"/>
          <w:i/>
          <w:noProof/>
          <w:sz w:val="24"/>
        </w:rPr>
        <w:t xml:space="preserve">Ανατολική Μεσόγειος: Βελτίωση των συνθηκών στην Ελλάδα </w:t>
      </w:r>
    </w:p>
    <w:p w:rsidR="00835C9C" w:rsidRDefault="003F26D7">
      <w:pPr>
        <w:pStyle w:val="Default"/>
        <w:jc w:val="both"/>
        <w:rPr>
          <w:noProof/>
        </w:rPr>
      </w:pPr>
      <w:r>
        <w:rPr>
          <w:noProof/>
        </w:rPr>
        <w:t xml:space="preserve">Η συνεχής δέσμευση για την εφαρμογή της δήλωσης ΕΕ–Τουρκίας και η σημαντική </w:t>
      </w:r>
      <w:r>
        <w:rPr>
          <w:noProof/>
        </w:rPr>
        <w:t>χρηματοδοτική και επιχειρησιακή στήριξη από την ΕΕ από το 2015 έχουν συμβάλει σημαντικά στον περιορισμό των πιέσεων που δέχονται τα ελληνικά νησιά</w:t>
      </w:r>
      <w:r>
        <w:rPr>
          <w:rStyle w:val="FootnoteReference"/>
          <w:noProof/>
        </w:rPr>
        <w:footnoteReference w:id="23"/>
      </w:r>
      <w:r>
        <w:rPr>
          <w:noProof/>
        </w:rPr>
        <w:t>. Περαιτέρω ενέργειες βρίσκονται επί του παρόντος σε εξέλιξη. Οι ελληνικές αρχές έχουν λάβει σειρά μέτρων για</w:t>
      </w:r>
      <w:r>
        <w:rPr>
          <w:noProof/>
        </w:rPr>
        <w:t xml:space="preserve"> την ταχύτερη διεκπεραίωση των αιτήσεων ασύλου, στα οποία περιλαμβάνονται επιπλέον ιατροί για τις αξιολογήσεις τρωτότητας, κινητές μονάδες ασύλου και αυξημένος αριθμός επιτροπών προσφυγών. Βρίσκονται σε εξέλιξη πιλοτικά έργα για την εξεύρεση άλλων τρόπων β</w:t>
      </w:r>
      <w:r>
        <w:rPr>
          <w:noProof/>
        </w:rPr>
        <w:t>ελτίωσης της ροής εργασιών για τη διεκπεραίωση των αιτήσεων ασύλου. Αυτά αναμένεται να αυξήσουν την αποτελεσματικότητα των επιστροφών, ιδιαίτερα στο πλαίσιο της δήλωσης ΕΕ–Τουρκίας, και να βελτιώσουν τις συνθήκες μέσω της μείωσης της συγκέντρωσης υπερπληθυ</w:t>
      </w:r>
      <w:r>
        <w:rPr>
          <w:noProof/>
        </w:rPr>
        <w:t xml:space="preserve">σμού στα νησιά. </w:t>
      </w:r>
    </w:p>
    <w:p w:rsidR="00835C9C" w:rsidRDefault="00835C9C">
      <w:pPr>
        <w:pStyle w:val="Default"/>
        <w:jc w:val="both"/>
        <w:rPr>
          <w:noProof/>
        </w:rPr>
      </w:pPr>
    </w:p>
    <w:p w:rsidR="00835C9C" w:rsidRDefault="003F26D7">
      <w:pPr>
        <w:pStyle w:val="Default"/>
        <w:spacing w:after="120"/>
        <w:jc w:val="both"/>
        <w:rPr>
          <w:noProof/>
        </w:rPr>
      </w:pPr>
      <w:r>
        <w:rPr>
          <w:noProof/>
        </w:rPr>
        <w:t>Ωστόσο, θα απαιτηθεί ισχυρή ηγετική ικανότητα και δέσμευση εκ μέρους της ελληνικής κυβέρνησης προκειμένου να αντιμετωπιστούν οι πολλές εναπομένουσες προκλήσεις. Η ΕΕ θα συνεχίσει να παρέχει χρηματοδοτική στήριξη</w:t>
      </w:r>
      <w:r>
        <w:rPr>
          <w:rStyle w:val="FootnoteReference"/>
          <w:noProof/>
        </w:rPr>
        <w:footnoteReference w:id="24"/>
      </w:r>
      <w:r>
        <w:rPr>
          <w:noProof/>
        </w:rPr>
        <w:t xml:space="preserve"> στην Ελλάδα και οι οργανι</w:t>
      </w:r>
      <w:r>
        <w:rPr>
          <w:noProof/>
        </w:rPr>
        <w:t>σμοί της ΕΕ θα συνεχίσουν να παρέχουν την εμπειρογνωσία τους. Είναι επίσης ουσιώδους σημασίας τα κράτη μέλη να συνεχίσουν να παρέχουν επαρκή στήριξη στο έργο των οργανισμών της ΕΕ. Απαιτούνται επείγουσες και συντονισμένες δράσεις από την πλευρά των ελληνικ</w:t>
      </w:r>
      <w:r>
        <w:rPr>
          <w:noProof/>
        </w:rPr>
        <w:t>ών αρχών προκειμένου να επιτευχθούν τα εξής:</w:t>
      </w:r>
    </w:p>
    <w:p w:rsidR="00835C9C" w:rsidRDefault="003F26D7">
      <w:pPr>
        <w:pStyle w:val="Default"/>
        <w:numPr>
          <w:ilvl w:val="0"/>
          <w:numId w:val="62"/>
        </w:numPr>
        <w:spacing w:after="120"/>
        <w:ind w:left="425"/>
        <w:jc w:val="both"/>
        <w:rPr>
          <w:noProof/>
        </w:rPr>
      </w:pPr>
      <w:r>
        <w:rPr>
          <w:noProof/>
        </w:rPr>
        <w:t>Πιο αποτελεσματικές διαδικασίες ασύλου για να διασφαλιστεί πολύ ταχύτερη διεκπεραίωση των αιτήσεων ασύλου.</w:t>
      </w:r>
    </w:p>
    <w:p w:rsidR="00835C9C" w:rsidRDefault="003F26D7">
      <w:pPr>
        <w:pStyle w:val="Default"/>
        <w:numPr>
          <w:ilvl w:val="0"/>
          <w:numId w:val="62"/>
        </w:numPr>
        <w:spacing w:after="120"/>
        <w:ind w:left="425"/>
        <w:jc w:val="both"/>
        <w:rPr>
          <w:noProof/>
        </w:rPr>
      </w:pPr>
      <w:r>
        <w:rPr>
          <w:noProof/>
        </w:rPr>
        <w:t>Αύξηση των επιστροφών με τη μέγιστη αξιοποίηση των προγραμμάτων υποστηριζόμενης οικειοθελούς επιστροφής,</w:t>
      </w:r>
      <w:r>
        <w:rPr>
          <w:noProof/>
        </w:rPr>
        <w:t xml:space="preserve"> και με τη στήριξη των προγραμμάτων επανένταξης. Όταν απαιτείται η εφαρμογή αναγκαστικής επιστροφής, πρέπει να υπάρχουν διαθέσιμες κατάλληλες εγκαταστάσεις πριν από την απομάκρυνση, οι οποίες να τηρούν τα εφαρμοστέα πρότυπα ανθρωπίνων δικαιωμάτων. Για τον </w:t>
      </w:r>
      <w:r>
        <w:rPr>
          <w:noProof/>
        </w:rPr>
        <w:t>σκοπό αυτόν απαιτείται αποτελεσματική επιχειρησιακή ροή εργασιών στο πλαίσιο της οποίας δίνεται προτεραιότητα σε βασικές ομάδες σε όλα τα στάδια της διαδικασίας</w:t>
      </w:r>
      <w:r>
        <w:rPr>
          <w:rStyle w:val="FootnoteReference"/>
          <w:noProof/>
        </w:rPr>
        <w:footnoteReference w:id="25"/>
      </w:r>
      <w:r>
        <w:rPr>
          <w:noProof/>
        </w:rPr>
        <w:t xml:space="preserve">. </w:t>
      </w:r>
    </w:p>
    <w:p w:rsidR="00835C9C" w:rsidRDefault="003F26D7">
      <w:pPr>
        <w:pStyle w:val="Default"/>
        <w:numPr>
          <w:ilvl w:val="0"/>
          <w:numId w:val="62"/>
        </w:numPr>
        <w:spacing w:after="120"/>
        <w:ind w:left="425"/>
        <w:jc w:val="both"/>
        <w:rPr>
          <w:noProof/>
        </w:rPr>
      </w:pPr>
      <w:r>
        <w:rPr>
          <w:noProof/>
        </w:rPr>
        <w:t xml:space="preserve">Κανονιστικό και διοικητικό πλαίσιο ικανό να διασφαλίσει τη λειτουργία και την παρακολούθηση </w:t>
      </w:r>
      <w:r>
        <w:rPr>
          <w:noProof/>
        </w:rPr>
        <w:t>της ικανότητας υποδοχής και την παροχή όλων των σχετικών υπηρεσιών.</w:t>
      </w:r>
    </w:p>
    <w:p w:rsidR="00835C9C" w:rsidRDefault="003F26D7">
      <w:pPr>
        <w:pStyle w:val="ListParagraph"/>
        <w:numPr>
          <w:ilvl w:val="0"/>
          <w:numId w:val="58"/>
        </w:numPr>
        <w:spacing w:after="120"/>
        <w:ind w:left="425"/>
        <w:contextualSpacing w:val="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Η ταχεία πρόβλεψη τουλάχιστον 2 000 θέσεων σε κατάλληλα κέντρα φιλοξενίας για ασυνόδευτους ανηλίκους, καθώς και η οριστικοποίηση και η εφαρμογή ολοκληρωμένης εθνικής στρατηγικής για τη διασφάλιση της πλήρους προστασίας των ασυνόδευτων ανηλίκων. </w:t>
      </w:r>
    </w:p>
    <w:p w:rsidR="00835C9C" w:rsidRDefault="003F26D7">
      <w:pPr>
        <w:pStyle w:val="ListParagraph"/>
        <w:numPr>
          <w:ilvl w:val="0"/>
          <w:numId w:val="58"/>
        </w:numPr>
        <w:spacing w:after="240"/>
        <w:ind w:left="426"/>
        <w:contextualSpacing w:val="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Βελτιωμένο</w:t>
      </w:r>
      <w:r>
        <w:rPr>
          <w:rFonts w:ascii="Times New Roman" w:eastAsiaTheme="minorHAnsi" w:hAnsi="Times New Roman"/>
          <w:noProof/>
          <w:color w:val="000000"/>
          <w:sz w:val="24"/>
        </w:rPr>
        <w:t xml:space="preserve"> σύστημα παραπομπής σε ανοικτά κέντρα φιλοξενίας για αιτούντες διεθνή προστασία και ευάλωτα άτομα και συνεργασία μεταξύ των αρμόδιων αρχών.</w:t>
      </w:r>
    </w:p>
    <w:p w:rsidR="00835C9C" w:rsidRDefault="003F26D7">
      <w:pPr>
        <w:spacing w:after="24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Για τον σκοπό αυτόν, είναι αναγκαία η θέσπιση αποτελεσματικής και βιώσιμης ελληνικής εθνικής στρατηγικής για τη διαχ</w:t>
      </w:r>
      <w:r>
        <w:rPr>
          <w:rFonts w:ascii="Times New Roman" w:eastAsiaTheme="minorHAnsi" w:hAnsi="Times New Roman"/>
          <w:noProof/>
          <w:color w:val="000000"/>
          <w:sz w:val="24"/>
        </w:rPr>
        <w:t>είριση της μετανάστευσης. Η στρατηγική αυτή πρέπει να θέσει σε εφαρμογή την αποτελεσματική συνεργασία και τον συντονισμό μεταξύ όλων των σχετικών εθνικών αρχών, με βάση επιχειρησιακές ροές εργασιών και κοινούς κανόνες ιεράρχησης προτεραιοτήτων.</w:t>
      </w:r>
    </w:p>
    <w:p w:rsidR="00835C9C" w:rsidRDefault="003F26D7">
      <w:pPr>
        <w:spacing w:after="120"/>
        <w:rPr>
          <w:rFonts w:ascii="Times New Roman" w:hAnsi="Times New Roman"/>
          <w:i/>
          <w:noProof/>
          <w:sz w:val="24"/>
        </w:rPr>
      </w:pPr>
      <w:r>
        <w:rPr>
          <w:rFonts w:ascii="Times New Roman" w:hAnsi="Times New Roman"/>
          <w:i/>
          <w:noProof/>
          <w:sz w:val="24"/>
        </w:rPr>
        <w:t>Η ανάγκη γι</w:t>
      </w:r>
      <w:r>
        <w:rPr>
          <w:rFonts w:ascii="Times New Roman" w:hAnsi="Times New Roman"/>
          <w:i/>
          <w:noProof/>
          <w:sz w:val="24"/>
        </w:rPr>
        <w:t>α προσωρινές ρυθμίσεις κατά την αποβίβαση στην ΕΕ</w:t>
      </w:r>
    </w:p>
    <w:p w:rsidR="00835C9C" w:rsidRDefault="003F26D7">
      <w:pPr>
        <w:jc w:val="both"/>
        <w:rPr>
          <w:rFonts w:ascii="Times New Roman" w:hAnsi="Times New Roman"/>
          <w:noProof/>
          <w:color w:val="000000"/>
          <w:sz w:val="24"/>
          <w:szCs w:val="24"/>
        </w:rPr>
      </w:pPr>
      <w:r>
        <w:rPr>
          <w:rFonts w:ascii="Times New Roman" w:hAnsi="Times New Roman"/>
          <w:noProof/>
          <w:sz w:val="24"/>
          <w:szCs w:val="24"/>
        </w:rPr>
        <w:t>Το καλοκαίρι του 2018 διαπιστώθηκαν ήδη πολλές περιπτώσεις στις οποίες τα κράτη μέλη δεν μπορούσαν να συμφωνήσουν με ταχύτητα για την αποβίβαση και τα μέτρα παρακολούθησης. Ως αποτέλεσμα, οι λύσεις που τέθη</w:t>
      </w:r>
      <w:r>
        <w:rPr>
          <w:rFonts w:ascii="Times New Roman" w:hAnsi="Times New Roman"/>
          <w:noProof/>
          <w:sz w:val="24"/>
          <w:szCs w:val="24"/>
        </w:rPr>
        <w:t xml:space="preserve">καν σε εφαρμογή ήταν περιορισμένου και ad hoc χαρακτήρα. Τον Ιανουάριο του 2019, η ανάγκη εξεύρεσης λύσης για το σωστικό σκάφος </w:t>
      </w:r>
      <w:r>
        <w:rPr>
          <w:rFonts w:ascii="Times New Roman" w:hAnsi="Times New Roman"/>
          <w:i/>
          <w:noProof/>
          <w:sz w:val="24"/>
          <w:szCs w:val="24"/>
        </w:rPr>
        <w:t>SeaWatch 3</w:t>
      </w:r>
      <w:r>
        <w:rPr>
          <w:rFonts w:ascii="Times New Roman" w:hAnsi="Times New Roman"/>
          <w:noProof/>
          <w:sz w:val="24"/>
          <w:szCs w:val="24"/>
        </w:rPr>
        <w:t xml:space="preserve"> ενεργοποίησε μια ιδιαίτερη προσπάθεια συντονισμού μεταξύ διαφόρων κρατών μελών, της Επιτροπής και των σχετικών οργανι</w:t>
      </w:r>
      <w:r>
        <w:rPr>
          <w:rFonts w:ascii="Times New Roman" w:hAnsi="Times New Roman"/>
          <w:noProof/>
          <w:sz w:val="24"/>
          <w:szCs w:val="24"/>
        </w:rPr>
        <w:t xml:space="preserve">σμών. Παρά τον μικρό αριθμό των εμπλεκομένων ατόμων, η πρακτική αυτή εμπειρία, η οποία απέδειξε τη βούληση να εξευρεθεί ένα αποτελεσματικότερο πλαίσιο συνεργασίας σε πνεύμα αλληλεγγύης, μπορεί να εμπνεύσει και να συμβάλει στο έργο της πιο συστηματικής και </w:t>
      </w:r>
      <w:r>
        <w:rPr>
          <w:rFonts w:ascii="Times New Roman" w:hAnsi="Times New Roman"/>
          <w:noProof/>
          <w:sz w:val="24"/>
          <w:szCs w:val="24"/>
        </w:rPr>
        <w:t xml:space="preserve">συντονισμένης προσέγγισης της ΕΕ όσον αφορά την αποβίβαση, την πρώτη υποδοχή, την καταγραφή και τη μετεγκατάσταση με τη μορφή προσωρινών ρυθμίσεων. </w:t>
      </w:r>
      <w:r>
        <w:rPr>
          <w:rFonts w:ascii="Times New Roman" w:hAnsi="Times New Roman"/>
          <w:noProof/>
          <w:color w:val="000000"/>
          <w:sz w:val="24"/>
          <w:szCs w:val="24"/>
        </w:rPr>
        <w:t>Στο πλαίσιο αυτό θα μπορούσε να δημιουργηθεί ένα διαφανές και αναλυτικό σχέδιο εργασίας βήμα προς βήμα, το ο</w:t>
      </w:r>
      <w:r>
        <w:rPr>
          <w:rFonts w:ascii="Times New Roman" w:hAnsi="Times New Roman"/>
          <w:noProof/>
          <w:color w:val="000000"/>
          <w:sz w:val="24"/>
          <w:szCs w:val="24"/>
        </w:rPr>
        <w:t>ποίο θα διασφαλίζει ότι το εκάστοτε κράτος μέλος λαμβάνει την επιχειρησιακή και αποτελεσματική βοήθεια που χρειάζεται από την Επιτροπή, τους οργανισμούς της ΕΕ και άλλα κράτη μέλη.</w:t>
      </w:r>
    </w:p>
    <w:p w:rsidR="00835C9C" w:rsidRDefault="00835C9C">
      <w:pPr>
        <w:jc w:val="both"/>
        <w:rPr>
          <w:rFonts w:ascii="Times New Roman" w:hAnsi="Times New Roman"/>
          <w:noProof/>
          <w:color w:val="000000"/>
          <w:sz w:val="24"/>
        </w:rPr>
      </w:pPr>
    </w:p>
    <w:p w:rsidR="00835C9C" w:rsidRDefault="003F26D7">
      <w:pPr>
        <w:jc w:val="both"/>
        <w:rPr>
          <w:rFonts w:ascii="Times New Roman" w:hAnsi="Times New Roman"/>
          <w:noProof/>
          <w:color w:val="000000" w:themeColor="text1"/>
          <w:sz w:val="24"/>
          <w:szCs w:val="24"/>
        </w:rPr>
      </w:pPr>
      <w:r>
        <w:rPr>
          <w:rFonts w:ascii="Times New Roman" w:hAnsi="Times New Roman"/>
          <w:noProof/>
          <w:sz w:val="24"/>
        </w:rPr>
        <w:t>Παρότι η άμεση ολοκλήρωση της νομοθετικής μεταρρύθμισης του κοινού ευρωπαϊ</w:t>
      </w:r>
      <w:r>
        <w:rPr>
          <w:rFonts w:ascii="Times New Roman" w:hAnsi="Times New Roman"/>
          <w:noProof/>
          <w:sz w:val="24"/>
        </w:rPr>
        <w:t>κού συστήματος ασύλου εξακολουθεί να αποτελεί προτεραιότητα, η Επιτροπή υπογράμμισε ήδη την αξία των προσωρινών αυτών ρυθμίσεων τον Δεκέμβριο του 2018</w:t>
      </w:r>
      <w:r>
        <w:rPr>
          <w:rStyle w:val="FootnoteReference"/>
          <w:rFonts w:ascii="Times New Roman" w:hAnsi="Times New Roman"/>
          <w:noProof/>
          <w:sz w:val="24"/>
        </w:rPr>
        <w:footnoteReference w:id="26"/>
      </w:r>
      <w:r>
        <w:rPr>
          <w:rFonts w:ascii="Times New Roman" w:hAnsi="Times New Roman"/>
          <w:noProof/>
          <w:sz w:val="24"/>
        </w:rPr>
        <w:t>, ως άμεσης συντονισμένης προσέγγισης για την αποβίβαση και άλλες καταστάσεις που ασκούν ιδιαίτερες πιέσε</w:t>
      </w:r>
      <w:r>
        <w:rPr>
          <w:rFonts w:ascii="Times New Roman" w:hAnsi="Times New Roman"/>
          <w:noProof/>
          <w:sz w:val="24"/>
        </w:rPr>
        <w:t>ις στην ΕΕ.</w:t>
      </w:r>
      <w:r>
        <w:rPr>
          <w:rFonts w:ascii="Times New Roman" w:hAnsi="Times New Roman"/>
          <w:noProof/>
          <w:color w:val="000000" w:themeColor="text1"/>
          <w:sz w:val="24"/>
        </w:rPr>
        <w:t xml:space="preserve"> </w:t>
      </w:r>
      <w:r>
        <w:rPr>
          <w:rFonts w:ascii="Times New Roman" w:hAnsi="Times New Roman"/>
          <w:noProof/>
          <w:sz w:val="24"/>
        </w:rPr>
        <w:t>Οι ρυθμίσεις αυτές συνεπάγονται την πρακτική εφαρμογή της αλληλεγγύης και της ευθύνης, με βάση την αμοιβαία κατανόηση του κοινού και επιμερισμένου συμφέροντος, και θα αποτελέσουν μεταβατικό μηχανισμό μέχρι να ολοκληρωθεί και να τεθεί σε εφαρμογ</w:t>
      </w:r>
      <w:r>
        <w:rPr>
          <w:rFonts w:ascii="Times New Roman" w:hAnsi="Times New Roman"/>
          <w:noProof/>
          <w:sz w:val="24"/>
        </w:rPr>
        <w:t>ή η νομοθετική μεταρρύθμιση. Η ΕΕ θα είναι πράγματι πολύ καλύτερα εξοπλισμένη απ’ ό,τι είναι σήμερα για να προσφέρει απτή αλληλεγγύη με δομημένο, αποτελεσματικό και ευέλικτο τρόπο, διασφαλίζοντας παράλληλα την αποτελεσματική πρόληψη των δευτερογενών μετακι</w:t>
      </w:r>
      <w:r>
        <w:rPr>
          <w:rFonts w:ascii="Times New Roman" w:hAnsi="Times New Roman"/>
          <w:noProof/>
          <w:sz w:val="24"/>
        </w:rPr>
        <w:t>νήσεων και των παραγόντων έλξης. Για να αποφέρει αποτελέσματα η προσέγγιση αυτή, θα πρέπει να συμμετάσχουν όσο το δυνατόν περισσότερα κράτη μέλη. Τα βασικά στοιχεία των προσωρινών αυτών ρυθμίσεων θα μπορούσαν να είναι τα εξής:</w:t>
      </w:r>
    </w:p>
    <w:p w:rsidR="00835C9C" w:rsidRDefault="00835C9C">
      <w:pPr>
        <w:jc w:val="both"/>
        <w:rPr>
          <w:rFonts w:ascii="Times New Roman" w:hAnsi="Times New Roman"/>
          <w:noProof/>
          <w:sz w:val="24"/>
          <w:szCs w:val="24"/>
        </w:rPr>
      </w:pPr>
    </w:p>
    <w:p w:rsidR="00835C9C" w:rsidRDefault="003F26D7">
      <w:pPr>
        <w:pStyle w:val="ListParagraph"/>
        <w:numPr>
          <w:ilvl w:val="0"/>
          <w:numId w:val="54"/>
        </w:numPr>
        <w:jc w:val="both"/>
        <w:rPr>
          <w:rFonts w:ascii="Times New Roman" w:hAnsi="Times New Roman"/>
          <w:noProof/>
          <w:sz w:val="24"/>
          <w:szCs w:val="24"/>
        </w:rPr>
      </w:pPr>
      <w:r>
        <w:rPr>
          <w:rFonts w:ascii="Times New Roman" w:hAnsi="Times New Roman"/>
          <w:noProof/>
          <w:sz w:val="24"/>
        </w:rPr>
        <w:t xml:space="preserve">Όταν ένα κράτος μέλος δέχεται πιέσεις ή όταν είναι αναγκαία η συμβολή του σε άμεση αποβίβαση κατόπιν έρευνας και διάσωσης, το εν λόγω κράτος μέλος υποβάλλει αίτημα για συνδρομή. </w:t>
      </w:r>
    </w:p>
    <w:p w:rsidR="00835C9C" w:rsidRDefault="003F26D7">
      <w:pPr>
        <w:pStyle w:val="ListParagraph"/>
        <w:numPr>
          <w:ilvl w:val="0"/>
          <w:numId w:val="54"/>
        </w:numPr>
        <w:jc w:val="both"/>
        <w:rPr>
          <w:rFonts w:ascii="Times New Roman" w:hAnsi="Times New Roman"/>
          <w:noProof/>
          <w:sz w:val="24"/>
          <w:szCs w:val="24"/>
        </w:rPr>
      </w:pPr>
      <w:r>
        <w:rPr>
          <w:rFonts w:ascii="Times New Roman" w:hAnsi="Times New Roman"/>
          <w:noProof/>
          <w:sz w:val="24"/>
          <w:szCs w:val="24"/>
        </w:rPr>
        <w:t>Σε απάντηση στο αίτημα αυτό, θα πρέπει να προσδιορίζεται η συγκεκριμένη στήρι</w:t>
      </w:r>
      <w:r>
        <w:rPr>
          <w:rFonts w:ascii="Times New Roman" w:hAnsi="Times New Roman"/>
          <w:noProof/>
          <w:sz w:val="24"/>
          <w:szCs w:val="24"/>
        </w:rPr>
        <w:t>ξη που μπορούν να παράσχουν τα κράτη μέλη μέσω μέτρων αλληλεγγύης. Τα μέτρα αλληλεγγύης που προσφέρονται από τα κράτη μέλη πρέπει να αντισταθμίζονται από τα κράτη μέλη που επωφελούνται από τη στήριξη, ανταποκρινόμενα στην ευθύνη τους να λαμβάνουν κατάλληλα</w:t>
      </w:r>
      <w:r>
        <w:rPr>
          <w:rFonts w:ascii="Times New Roman" w:hAnsi="Times New Roman"/>
          <w:noProof/>
          <w:sz w:val="24"/>
          <w:szCs w:val="24"/>
        </w:rPr>
        <w:t xml:space="preserve"> μέτρα για τη διαχείριση των αφίξεων. </w:t>
      </w:r>
    </w:p>
    <w:p w:rsidR="00835C9C" w:rsidRDefault="003F26D7">
      <w:pPr>
        <w:pStyle w:val="ListParagraph"/>
        <w:numPr>
          <w:ilvl w:val="0"/>
          <w:numId w:val="54"/>
        </w:numPr>
        <w:jc w:val="both"/>
        <w:rPr>
          <w:rFonts w:ascii="Times New Roman" w:hAnsi="Times New Roman"/>
          <w:noProof/>
          <w:sz w:val="24"/>
          <w:szCs w:val="24"/>
        </w:rPr>
      </w:pPr>
      <w:r>
        <w:rPr>
          <w:rFonts w:ascii="Times New Roman" w:hAnsi="Times New Roman"/>
          <w:noProof/>
          <w:sz w:val="24"/>
        </w:rPr>
        <w:t xml:space="preserve">Θα πρέπει να δημιουργηθεί δομή συντονισμού για την παρακολούθηση των αιτημάτων αυτών από τα κράτη μέλη, με τη συμμετοχή των βασικών ενδιαφερόμενων φορέων, όπως της Επιτροπής και των οργανισμών της ΕΕ. </w:t>
      </w:r>
    </w:p>
    <w:p w:rsidR="00835C9C" w:rsidRDefault="003F26D7">
      <w:pPr>
        <w:pStyle w:val="ListParagraph"/>
        <w:numPr>
          <w:ilvl w:val="0"/>
          <w:numId w:val="54"/>
        </w:numPr>
        <w:jc w:val="both"/>
        <w:rPr>
          <w:rFonts w:ascii="Times New Roman" w:hAnsi="Times New Roman"/>
          <w:noProof/>
          <w:sz w:val="24"/>
          <w:szCs w:val="24"/>
        </w:rPr>
      </w:pPr>
      <w:r>
        <w:rPr>
          <w:rFonts w:ascii="Times New Roman" w:hAnsi="Times New Roman"/>
          <w:noProof/>
          <w:sz w:val="24"/>
        </w:rPr>
        <w:t>Οι οργανισμοί τ</w:t>
      </w:r>
      <w:r>
        <w:rPr>
          <w:rFonts w:ascii="Times New Roman" w:hAnsi="Times New Roman"/>
          <w:noProof/>
          <w:sz w:val="24"/>
        </w:rPr>
        <w:t xml:space="preserve">ης ΕΕ είναι άρτια εξοπλισμένοι ώστε να παρέχουν την απαραίτητη συνδρομή, σε τομείς όπως η πρώτη υποδοχή, η καταγραφή, η μετεγκατάσταση και η επιστροφή. </w:t>
      </w:r>
    </w:p>
    <w:p w:rsidR="00835C9C" w:rsidRDefault="003F26D7">
      <w:pPr>
        <w:pStyle w:val="ListParagraph"/>
        <w:numPr>
          <w:ilvl w:val="0"/>
          <w:numId w:val="54"/>
        </w:numPr>
        <w:jc w:val="both"/>
        <w:rPr>
          <w:rFonts w:ascii="Times New Roman" w:hAnsi="Times New Roman"/>
          <w:noProof/>
          <w:sz w:val="24"/>
          <w:szCs w:val="24"/>
        </w:rPr>
      </w:pPr>
      <w:r>
        <w:rPr>
          <w:rFonts w:ascii="Times New Roman" w:hAnsi="Times New Roman"/>
          <w:noProof/>
          <w:sz w:val="24"/>
        </w:rPr>
        <w:t xml:space="preserve">Θα διατίθεται χρηματοδοτική στήριξη από τον προϋπολογισμό της ΕΕ για τα κράτη μέλη που προβαίνουν σε </w:t>
      </w:r>
      <w:r>
        <w:rPr>
          <w:rFonts w:ascii="Times New Roman" w:hAnsi="Times New Roman"/>
          <w:noProof/>
          <w:sz w:val="24"/>
        </w:rPr>
        <w:t>εθελοντική μετεγκατάσταση και για την υποστήριξη των επιχειρήσεων επιστροφής. Χρηματοδοτική στήριξη θα διατίθεται επίσης στα κράτη μέλη που δέχονται πιέσεις.</w:t>
      </w:r>
    </w:p>
    <w:p w:rsidR="00835C9C" w:rsidRDefault="00835C9C">
      <w:pPr>
        <w:jc w:val="both"/>
        <w:rPr>
          <w:rFonts w:ascii="Times New Roman" w:hAnsi="Times New Roman"/>
          <w:noProof/>
          <w:color w:val="000000"/>
          <w:sz w:val="24"/>
          <w:szCs w:val="24"/>
        </w:rPr>
      </w:pPr>
    </w:p>
    <w:tbl>
      <w:tblPr>
        <w:tblStyle w:val="TableGrid"/>
        <w:tblW w:w="0" w:type="auto"/>
        <w:tblLook w:val="04A0" w:firstRow="1" w:lastRow="0" w:firstColumn="1" w:lastColumn="0" w:noHBand="0" w:noVBand="1"/>
      </w:tblPr>
      <w:tblGrid>
        <w:gridCol w:w="9286"/>
      </w:tblGrid>
      <w:tr w:rsidR="00835C9C">
        <w:tc>
          <w:tcPr>
            <w:tcW w:w="9286" w:type="dxa"/>
            <w:shd w:val="clear" w:color="auto" w:fill="1F497D" w:themeFill="text2"/>
          </w:tcPr>
          <w:p w:rsidR="00835C9C" w:rsidRDefault="003F26D7">
            <w:pPr>
              <w:shd w:val="clear" w:color="auto" w:fill="1F497D" w:themeFill="text2"/>
              <w:spacing w:after="120"/>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Άμεσες βασικές ενέργειες</w:t>
            </w:r>
          </w:p>
        </w:tc>
      </w:tr>
      <w:tr w:rsidR="00835C9C">
        <w:tc>
          <w:tcPr>
            <w:tcW w:w="9286" w:type="dxa"/>
            <w:shd w:val="clear" w:color="auto" w:fill="C6D9F1" w:themeFill="text2" w:themeFillTint="33"/>
          </w:tcPr>
          <w:p w:rsidR="00835C9C" w:rsidRDefault="003F26D7">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szCs w:val="24"/>
              </w:rPr>
              <w:t xml:space="preserve">Η νέα βοήθεια που παρέχεται στο </w:t>
            </w:r>
            <w:r>
              <w:rPr>
                <w:rFonts w:ascii="Times New Roman" w:eastAsiaTheme="minorHAnsi" w:hAnsi="Times New Roman"/>
                <w:b/>
                <w:i/>
                <w:noProof/>
                <w:color w:val="000000"/>
                <w:sz w:val="24"/>
                <w:szCs w:val="24"/>
              </w:rPr>
              <w:t>Μαρόκο</w:t>
            </w:r>
            <w:r>
              <w:rPr>
                <w:rFonts w:ascii="Times New Roman" w:eastAsiaTheme="minorHAnsi" w:hAnsi="Times New Roman"/>
                <w:noProof/>
                <w:color w:val="000000"/>
                <w:sz w:val="24"/>
                <w:szCs w:val="24"/>
              </w:rPr>
              <w:t xml:space="preserve"> από την ΕΕ και την Ισπανία θα πρ</w:t>
            </w:r>
            <w:r>
              <w:rPr>
                <w:rFonts w:ascii="Times New Roman" w:eastAsiaTheme="minorHAnsi" w:hAnsi="Times New Roman"/>
                <w:noProof/>
                <w:color w:val="000000"/>
                <w:sz w:val="24"/>
                <w:szCs w:val="24"/>
              </w:rPr>
              <w:t xml:space="preserve">έπει να έχει ως στόχο τη μείωση των παράτυπων αφίξεων από τις ακτές του Μαρόκου και </w:t>
            </w:r>
            <w:r>
              <w:rPr>
                <w:rFonts w:ascii="Times New Roman" w:hAnsi="Times New Roman"/>
                <w:noProof/>
                <w:sz w:val="24"/>
                <w:szCs w:val="24"/>
              </w:rPr>
              <w:t>αναμένεται να οδηγήσει στην περαιτέρω συνεργασία με το Μαρόκο και με άλλες σχετικές χώρες για την αύξηση της αποτελεσματικής επανεισδοχής παράτυπων μεταναστών στο πλαίσιο τ</w:t>
            </w:r>
            <w:r>
              <w:rPr>
                <w:rFonts w:ascii="Times New Roman" w:hAnsi="Times New Roman"/>
                <w:noProof/>
                <w:sz w:val="24"/>
                <w:szCs w:val="24"/>
              </w:rPr>
              <w:t>ης ολοκληρωμένης προσέγγισης.</w:t>
            </w:r>
          </w:p>
          <w:p w:rsidR="00835C9C" w:rsidRDefault="003F26D7">
            <w:pPr>
              <w:pStyle w:val="ListParagraph"/>
              <w:numPr>
                <w:ilvl w:val="0"/>
                <w:numId w:val="68"/>
              </w:numPr>
              <w:ind w:left="36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szCs w:val="24"/>
              </w:rPr>
              <w:t>Η ΕΕ θα πρέπει να εντατικοποιήσει τις εργασίες της με την ομάδα δράσης Αφρικανικής Ένωσης</w:t>
            </w:r>
            <w:r w:rsidRPr="003F26D7">
              <w:rPr>
                <w:rFonts w:ascii="Times New Roman" w:eastAsiaTheme="minorHAnsi" w:hAnsi="Times New Roman"/>
                <w:noProof/>
                <w:color w:val="000000"/>
                <w:sz w:val="24"/>
                <w:szCs w:val="24"/>
              </w:rPr>
              <w:t xml:space="preserve"> </w:t>
            </w:r>
            <w:r>
              <w:rPr>
                <w:rFonts w:ascii="Times New Roman" w:eastAsiaTheme="minorHAnsi" w:hAnsi="Times New Roman"/>
                <w:noProof/>
                <w:color w:val="000000"/>
                <w:sz w:val="24"/>
                <w:szCs w:val="24"/>
              </w:rPr>
              <w:t>–</w:t>
            </w:r>
            <w:r w:rsidRPr="003F26D7">
              <w:rPr>
                <w:rFonts w:ascii="Times New Roman" w:eastAsiaTheme="minorHAnsi" w:hAnsi="Times New Roman"/>
                <w:noProof/>
                <w:color w:val="000000"/>
                <w:sz w:val="24"/>
                <w:szCs w:val="24"/>
              </w:rPr>
              <w:t xml:space="preserve"> </w:t>
            </w:r>
            <w:r>
              <w:rPr>
                <w:rFonts w:ascii="Times New Roman" w:eastAsiaTheme="minorHAnsi" w:hAnsi="Times New Roman"/>
                <w:noProof/>
                <w:color w:val="000000"/>
                <w:sz w:val="24"/>
                <w:szCs w:val="24"/>
              </w:rPr>
              <w:t>Ευρωπαϊκής Ένωσης</w:t>
            </w:r>
            <w:r w:rsidRPr="003F26D7">
              <w:rPr>
                <w:rFonts w:ascii="Times New Roman" w:eastAsiaTheme="minorHAnsi" w:hAnsi="Times New Roman"/>
                <w:noProof/>
                <w:color w:val="000000"/>
                <w:sz w:val="24"/>
                <w:szCs w:val="24"/>
              </w:rPr>
              <w:t xml:space="preserve"> </w:t>
            </w:r>
            <w:r>
              <w:rPr>
                <w:rFonts w:ascii="Times New Roman" w:eastAsiaTheme="minorHAnsi" w:hAnsi="Times New Roman"/>
                <w:noProof/>
                <w:color w:val="000000"/>
                <w:sz w:val="24"/>
                <w:szCs w:val="24"/>
              </w:rPr>
              <w:t>–</w:t>
            </w:r>
            <w:r w:rsidRPr="003F26D7">
              <w:rPr>
                <w:rFonts w:ascii="Times New Roman" w:eastAsiaTheme="minorHAnsi" w:hAnsi="Times New Roman"/>
                <w:noProof/>
                <w:color w:val="000000"/>
                <w:sz w:val="24"/>
                <w:szCs w:val="24"/>
              </w:rPr>
              <w:t xml:space="preserve"> </w:t>
            </w:r>
            <w:r>
              <w:rPr>
                <w:rFonts w:ascii="Times New Roman" w:eastAsiaTheme="minorHAnsi" w:hAnsi="Times New Roman"/>
                <w:noProof/>
                <w:color w:val="000000"/>
                <w:sz w:val="24"/>
                <w:szCs w:val="24"/>
              </w:rPr>
              <w:t xml:space="preserve">Ηνωμένων Εθνών για να συνεχιστεί η βελτίωση των </w:t>
            </w:r>
            <w:r>
              <w:rPr>
                <w:rFonts w:ascii="Times New Roman" w:eastAsiaTheme="minorHAnsi" w:hAnsi="Times New Roman"/>
                <w:b/>
                <w:i/>
                <w:noProof/>
                <w:color w:val="000000"/>
                <w:sz w:val="24"/>
                <w:szCs w:val="24"/>
              </w:rPr>
              <w:t>συνθηκών στη Λιβύη</w:t>
            </w:r>
            <w:r>
              <w:rPr>
                <w:rFonts w:ascii="Times New Roman" w:eastAsiaTheme="minorHAnsi" w:hAnsi="Times New Roman"/>
                <w:noProof/>
                <w:color w:val="000000"/>
                <w:sz w:val="24"/>
                <w:szCs w:val="24"/>
              </w:rPr>
              <w:t xml:space="preserve"> και να εργαστεί για την κατάργηση του τρέχοντος</w:t>
            </w:r>
            <w:r>
              <w:rPr>
                <w:rFonts w:ascii="Times New Roman" w:eastAsiaTheme="minorHAnsi" w:hAnsi="Times New Roman"/>
                <w:noProof/>
                <w:color w:val="000000"/>
                <w:sz w:val="24"/>
                <w:szCs w:val="24"/>
              </w:rPr>
              <w:t xml:space="preserve"> συστήματος των κέντρων κράτησης, καθώς και για την αντιμετώπιση των εμποδίων όσον αφορά την πρόσβαση των διεθνών οργανισμών και τις οικειοθελείς επιστροφές μεταναστών και τις απομακρύνσεις προσφύγων· </w:t>
            </w:r>
            <w:r>
              <w:rPr>
                <w:rFonts w:ascii="Times New Roman" w:hAnsi="Times New Roman"/>
                <w:noProof/>
                <w:sz w:val="24"/>
                <w:szCs w:val="24"/>
              </w:rPr>
              <w:t xml:space="preserve">θα πρέπει να διασφαλιστεί η συστηματική και διαλειτουργική καταγραφή όλων των μεταναστών που αποβιβάζονται και κρατούνται. </w:t>
            </w:r>
          </w:p>
          <w:p w:rsidR="00835C9C" w:rsidRDefault="003F26D7">
            <w:pPr>
              <w:numPr>
                <w:ilvl w:val="0"/>
                <w:numId w:val="68"/>
              </w:numPr>
              <w:ind w:left="360"/>
              <w:contextualSpacing/>
              <w:jc w:val="both"/>
              <w:rPr>
                <w:rFonts w:ascii="Times New Roman" w:hAnsi="Times New Roman"/>
                <w:noProof/>
                <w:color w:val="000000"/>
                <w:sz w:val="24"/>
                <w:szCs w:val="24"/>
              </w:rPr>
            </w:pPr>
            <w:r>
              <w:rPr>
                <w:rFonts w:ascii="Times New Roman" w:eastAsiaTheme="minorHAnsi" w:hAnsi="Times New Roman"/>
                <w:noProof/>
                <w:color w:val="000000"/>
                <w:sz w:val="24"/>
                <w:szCs w:val="24"/>
              </w:rPr>
              <w:t xml:space="preserve">Η </w:t>
            </w:r>
            <w:r>
              <w:rPr>
                <w:rFonts w:ascii="Times New Roman" w:eastAsiaTheme="minorHAnsi" w:hAnsi="Times New Roman"/>
                <w:b/>
                <w:i/>
                <w:noProof/>
                <w:color w:val="000000"/>
                <w:sz w:val="24"/>
                <w:szCs w:val="24"/>
              </w:rPr>
              <w:t>Ελλάδα</w:t>
            </w:r>
            <w:r>
              <w:rPr>
                <w:rFonts w:ascii="Times New Roman" w:eastAsiaTheme="minorHAnsi" w:hAnsi="Times New Roman"/>
                <w:noProof/>
                <w:color w:val="000000"/>
                <w:sz w:val="24"/>
                <w:szCs w:val="24"/>
              </w:rPr>
              <w:t xml:space="preserve"> θα πρέπει να εφαρμόσει </w:t>
            </w:r>
            <w:r>
              <w:rPr>
                <w:rFonts w:ascii="Times New Roman" w:hAnsi="Times New Roman"/>
                <w:noProof/>
                <w:sz w:val="24"/>
                <w:szCs w:val="24"/>
              </w:rPr>
              <w:t>επειγόντως μια αποτελεσματική και βιώσιμη εθνική στρατηγική για τη διαχείριση της μετανάστευσης ώστε</w:t>
            </w:r>
            <w:r>
              <w:rPr>
                <w:rFonts w:ascii="Times New Roman" w:hAnsi="Times New Roman"/>
                <w:noProof/>
                <w:sz w:val="24"/>
                <w:szCs w:val="24"/>
              </w:rPr>
              <w:t xml:space="preserve"> να αντιμετωπιστούν οι εναπομένουσες ελλείψεις που διαπιστώνονται, π.χ. στους τομείς της επιστροφής και των ασυνόδευτων ανηλίκων, αξιοποιώντας με τον καλύτερο τρόπο τη σημαντική στήριξη που παρέχει η ΕΕ. </w:t>
            </w:r>
          </w:p>
          <w:p w:rsidR="00835C9C" w:rsidRDefault="003F26D7">
            <w:pPr>
              <w:pStyle w:val="ListParagraph"/>
              <w:numPr>
                <w:ilvl w:val="0"/>
                <w:numId w:val="68"/>
              </w:numPr>
              <w:ind w:left="360"/>
              <w:jc w:val="both"/>
              <w:rPr>
                <w:rFonts w:ascii="Times New Roman" w:hAnsi="Times New Roman"/>
                <w:noProof/>
                <w:sz w:val="24"/>
              </w:rPr>
            </w:pPr>
            <w:r>
              <w:rPr>
                <w:rFonts w:ascii="Times New Roman" w:eastAsiaTheme="minorHAnsi" w:hAnsi="Times New Roman"/>
                <w:noProof/>
                <w:sz w:val="24"/>
                <w:szCs w:val="24"/>
              </w:rPr>
              <w:t xml:space="preserve">Θα πρέπει να τεθεί σε εφαρμογή ένα σύνολο </w:t>
            </w:r>
            <w:r>
              <w:rPr>
                <w:rFonts w:ascii="Times New Roman" w:eastAsiaTheme="minorHAnsi" w:hAnsi="Times New Roman"/>
                <w:b/>
                <w:i/>
                <w:noProof/>
                <w:sz w:val="24"/>
                <w:szCs w:val="24"/>
              </w:rPr>
              <w:t>προσωρινώ</w:t>
            </w:r>
            <w:r>
              <w:rPr>
                <w:rFonts w:ascii="Times New Roman" w:eastAsiaTheme="minorHAnsi" w:hAnsi="Times New Roman"/>
                <w:b/>
                <w:i/>
                <w:noProof/>
                <w:sz w:val="24"/>
                <w:szCs w:val="24"/>
              </w:rPr>
              <w:t>ν ρυθμίσεων</w:t>
            </w:r>
            <w:r>
              <w:rPr>
                <w:rFonts w:ascii="Times New Roman" w:eastAsiaTheme="minorHAnsi" w:hAnsi="Times New Roman"/>
                <w:noProof/>
                <w:sz w:val="24"/>
                <w:szCs w:val="24"/>
              </w:rPr>
              <w:t xml:space="preserve"> σχετικά με την αποβίβαση, στο οποίο θα πρέπει να είναι πρόθυμη να συμμετάσχει κρίσιμη μάζα κρατών μελών μέσω μέτρων αλληλεγγύης.</w:t>
            </w:r>
          </w:p>
        </w:tc>
      </w:tr>
    </w:tbl>
    <w:p w:rsidR="00835C9C" w:rsidRDefault="00835C9C">
      <w:pPr>
        <w:jc w:val="both"/>
        <w:rPr>
          <w:rFonts w:ascii="Times New Roman" w:hAnsi="Times New Roman"/>
          <w:b/>
          <w:noProof/>
          <w:color w:val="000000"/>
          <w:sz w:val="24"/>
        </w:rPr>
      </w:pPr>
    </w:p>
    <w:p w:rsidR="00835C9C" w:rsidRDefault="00835C9C">
      <w:pPr>
        <w:jc w:val="both"/>
        <w:rPr>
          <w:rFonts w:ascii="Times New Roman" w:hAnsi="Times New Roman"/>
          <w:b/>
          <w:noProof/>
          <w:color w:val="000000"/>
          <w:sz w:val="24"/>
          <w:szCs w:val="24"/>
        </w:rPr>
      </w:pPr>
    </w:p>
    <w:p w:rsidR="00835C9C" w:rsidRDefault="003F26D7">
      <w:pPr>
        <w:pStyle w:val="ListParagraph"/>
        <w:numPr>
          <w:ilvl w:val="0"/>
          <w:numId w:val="2"/>
        </w:numPr>
        <w:jc w:val="both"/>
        <w:rPr>
          <w:rFonts w:ascii="Times New Roman" w:hAnsi="Times New Roman"/>
          <w:b/>
          <w:noProof/>
          <w:sz w:val="24"/>
          <w:szCs w:val="24"/>
        </w:rPr>
      </w:pPr>
      <w:r>
        <w:rPr>
          <w:rFonts w:ascii="Times New Roman" w:hAnsi="Times New Roman"/>
          <w:b/>
          <w:noProof/>
          <w:sz w:val="24"/>
        </w:rPr>
        <w:t>ΔΙΑΧΕΙΡΙΣΗ ΤΗΣ ΜΕΤΑΝΑΣΤΕΥΣΗΣ ΣΥΜΦΩΝΑ ΜΕ ΤΕΣΣΕΡΙΣ ΠΥΛΩΝΕΣ</w:t>
      </w:r>
    </w:p>
    <w:p w:rsidR="00835C9C" w:rsidRDefault="00835C9C">
      <w:pPr>
        <w:pStyle w:val="ListParagraph"/>
        <w:jc w:val="both"/>
        <w:rPr>
          <w:rFonts w:ascii="Times New Roman" w:hAnsi="Times New Roman"/>
          <w:b/>
          <w:noProof/>
          <w:sz w:val="24"/>
          <w:szCs w:val="24"/>
        </w:rPr>
      </w:pPr>
    </w:p>
    <w:p w:rsidR="00835C9C" w:rsidRDefault="003F26D7">
      <w:pPr>
        <w:pStyle w:val="ListParagraph"/>
        <w:numPr>
          <w:ilvl w:val="0"/>
          <w:numId w:val="3"/>
        </w:numPr>
        <w:jc w:val="both"/>
        <w:rPr>
          <w:rFonts w:ascii="Times New Roman" w:hAnsi="Times New Roman"/>
          <w:b/>
          <w:i/>
          <w:noProof/>
          <w:sz w:val="24"/>
          <w:szCs w:val="24"/>
        </w:rPr>
      </w:pPr>
      <w:r>
        <w:rPr>
          <w:rFonts w:ascii="Times New Roman" w:hAnsi="Times New Roman"/>
          <w:b/>
          <w:i/>
          <w:noProof/>
          <w:sz w:val="24"/>
        </w:rPr>
        <w:t xml:space="preserve">Αντιμετώπιση των παραγόντων που συντελούν στην </w:t>
      </w:r>
      <w:r>
        <w:rPr>
          <w:rFonts w:ascii="Times New Roman" w:hAnsi="Times New Roman"/>
          <w:b/>
          <w:i/>
          <w:noProof/>
          <w:sz w:val="24"/>
        </w:rPr>
        <w:t>παράτυπη μετανάστευση: συνεργασία με τους εταίρους</w:t>
      </w:r>
    </w:p>
    <w:p w:rsidR="00835C9C" w:rsidRDefault="00835C9C">
      <w:pPr>
        <w:jc w:val="both"/>
        <w:rPr>
          <w:rFonts w:ascii="Times New Roman" w:hAnsi="Times New Roman"/>
          <w:noProof/>
          <w:sz w:val="24"/>
          <w:szCs w:val="24"/>
        </w:rPr>
      </w:pPr>
    </w:p>
    <w:p w:rsidR="00835C9C" w:rsidRDefault="003F26D7">
      <w:pPr>
        <w:jc w:val="both"/>
        <w:rPr>
          <w:rFonts w:ascii="Times New Roman" w:hAnsi="Times New Roman"/>
          <w:noProof/>
          <w:color w:val="000000"/>
          <w:sz w:val="24"/>
          <w:szCs w:val="24"/>
        </w:rPr>
      </w:pPr>
      <w:r>
        <w:rPr>
          <w:rFonts w:ascii="Times New Roman" w:hAnsi="Times New Roman"/>
          <w:noProof/>
          <w:color w:val="000000"/>
          <w:sz w:val="24"/>
        </w:rPr>
        <w:t xml:space="preserve">Μετά τη θέσπιση του πλαισίου εταιρικής σχέσης για τη μετανάστευση, η μετανάστευση έχει αναχθεί σε κεντρικό μέλημα στο πλαίσιο των εξωτερικών σχέσεων της ΕΕ – οι παγκόσμιες εταιρικές σχέσεις και η </w:t>
      </w:r>
      <w:r>
        <w:rPr>
          <w:rFonts w:ascii="Times New Roman" w:hAnsi="Times New Roman"/>
          <w:noProof/>
          <w:color w:val="000000"/>
          <w:sz w:val="24"/>
        </w:rPr>
        <w:t>μακροπρόθεσμη συνεργασία είναι καίριας σημασίας για τη διαχείριση όλων των πτυχών της μετανάστευσης</w:t>
      </w:r>
      <w:r>
        <w:rPr>
          <w:rStyle w:val="FootnoteReference"/>
          <w:rFonts w:ascii="Times New Roman" w:hAnsi="Times New Roman"/>
          <w:noProof/>
          <w:color w:val="000000"/>
          <w:sz w:val="24"/>
        </w:rPr>
        <w:footnoteReference w:id="27"/>
      </w:r>
      <w:r>
        <w:rPr>
          <w:noProof/>
        </w:rPr>
        <w:t>.</w:t>
      </w:r>
      <w:r>
        <w:rPr>
          <w:rFonts w:ascii="Times New Roman" w:hAnsi="Times New Roman"/>
          <w:noProof/>
          <w:color w:val="000000"/>
          <w:sz w:val="24"/>
        </w:rPr>
        <w:t xml:space="preserve"> Το ζήτημα της μετανάστευσης έχει ενσωματωθεί πλήρως στις συνολικές σχέσεις με τις χώρες εταίρους. Για την περαιτέρω εμβάθυνση της συνεργασίας με τους εταί</w:t>
      </w:r>
      <w:r>
        <w:rPr>
          <w:rFonts w:ascii="Times New Roman" w:hAnsi="Times New Roman"/>
          <w:noProof/>
          <w:color w:val="000000"/>
          <w:sz w:val="24"/>
        </w:rPr>
        <w:t>ρους, είναι εξαιρετικά σημαντικό να υιοθετηθεί μια ολοκληρωμένη, συντονισμένη και βασισμένη στις πολυμερείς σχέσεις προσέγγιση στα διμερή, περιφερειακά και πολυμερή φόρουμ.</w:t>
      </w:r>
    </w:p>
    <w:p w:rsidR="00835C9C" w:rsidRDefault="00835C9C">
      <w:pPr>
        <w:jc w:val="both"/>
        <w:rPr>
          <w:rFonts w:ascii="Times New Roman" w:hAnsi="Times New Roman"/>
          <w:noProof/>
          <w:color w:val="000000"/>
          <w:sz w:val="24"/>
          <w:szCs w:val="24"/>
        </w:rPr>
      </w:pPr>
    </w:p>
    <w:p w:rsidR="00835C9C" w:rsidRDefault="003F26D7">
      <w:pPr>
        <w:spacing w:after="120"/>
        <w:jc w:val="both"/>
        <w:rPr>
          <w:rFonts w:ascii="Times New Roman" w:hAnsi="Times New Roman"/>
          <w:i/>
          <w:noProof/>
          <w:color w:val="000000"/>
          <w:sz w:val="24"/>
          <w:szCs w:val="24"/>
        </w:rPr>
      </w:pPr>
      <w:r>
        <w:rPr>
          <w:rFonts w:ascii="Times New Roman" w:hAnsi="Times New Roman"/>
          <w:i/>
          <w:noProof/>
          <w:color w:val="000000"/>
          <w:sz w:val="24"/>
        </w:rPr>
        <w:t>Αντιμετώπιση των βαθύτερων αιτίων της μετανάστευσης</w:t>
      </w:r>
    </w:p>
    <w:p w:rsidR="00835C9C" w:rsidRDefault="003F26D7">
      <w:pPr>
        <w:jc w:val="both"/>
        <w:rPr>
          <w:rFonts w:ascii="Times New Roman" w:hAnsi="Times New Roman"/>
          <w:noProof/>
          <w:color w:val="000000"/>
          <w:sz w:val="24"/>
          <w:szCs w:val="24"/>
        </w:rPr>
      </w:pPr>
      <w:r>
        <w:rPr>
          <w:rFonts w:ascii="Times New Roman" w:hAnsi="Times New Roman"/>
          <w:noProof/>
          <w:color w:val="000000"/>
          <w:sz w:val="24"/>
          <w:szCs w:val="24"/>
        </w:rPr>
        <w:t>Το Καταπιστευματικό Ταμείο της</w:t>
      </w:r>
      <w:r>
        <w:rPr>
          <w:rFonts w:ascii="Times New Roman" w:hAnsi="Times New Roman"/>
          <w:noProof/>
          <w:color w:val="000000"/>
          <w:sz w:val="24"/>
          <w:szCs w:val="24"/>
        </w:rPr>
        <w:t xml:space="preserve"> ΕΕ για την Αφρική έχει αποδείξει την προστιθέμενη αξία που αποφέρει ως γρήγορο και αποτελεσματικό εργαλείο υλοποίησης το οποίο διευκολύνει τον πολιτικό διάλογο με τις χώρες εταίρους, εφαρμόζει καινοτόμες προσεγγίσεις και παράγει συγκεκριμένα αποτελέσματα </w:t>
      </w:r>
      <w:r>
        <w:rPr>
          <w:rFonts w:ascii="Times New Roman" w:hAnsi="Times New Roman"/>
          <w:noProof/>
          <w:color w:val="000000"/>
          <w:sz w:val="24"/>
          <w:szCs w:val="24"/>
        </w:rPr>
        <w:t xml:space="preserve">συγκεντρώνοντας χρηματοδότηση και εμπειρογνωσία από διάφορα ενδιαφερόμενα μέρη, και ειδικότερα από τα κράτη μέλη της ΕΕ. Οι πόροι του ανέρχονται πλέον σε περισσότερα από </w:t>
      </w:r>
      <w:r>
        <w:rPr>
          <w:rFonts w:ascii="Times New Roman" w:hAnsi="Times New Roman"/>
          <w:noProof/>
          <w:sz w:val="24"/>
          <w:szCs w:val="24"/>
        </w:rPr>
        <w:t xml:space="preserve">4,2 δισ. EUR από την έναρξη εργασιών του Καταπιστευματικού Ταμείου το 2016, και </w:t>
      </w:r>
      <w:r>
        <w:rPr>
          <w:rFonts w:ascii="Times New Roman" w:hAnsi="Times New Roman"/>
          <w:noProof/>
          <w:color w:val="000000"/>
          <w:sz w:val="24"/>
          <w:szCs w:val="24"/>
        </w:rPr>
        <w:t>επί το</w:t>
      </w:r>
      <w:r>
        <w:rPr>
          <w:rFonts w:ascii="Times New Roman" w:hAnsi="Times New Roman"/>
          <w:noProof/>
          <w:color w:val="000000"/>
          <w:sz w:val="24"/>
          <w:szCs w:val="24"/>
        </w:rPr>
        <w:t>υ παρόντος έχουν συμφωνηθεί περισσότερα από 188 προγράμματα</w:t>
      </w:r>
      <w:r>
        <w:rPr>
          <w:rStyle w:val="FootnoteReference"/>
          <w:rFonts w:ascii="Times New Roman" w:hAnsi="Times New Roman"/>
          <w:noProof/>
          <w:color w:val="000000"/>
          <w:sz w:val="24"/>
          <w:szCs w:val="24"/>
        </w:rPr>
        <w:footnoteReference w:id="28"/>
      </w:r>
      <w:r>
        <w:rPr>
          <w:rFonts w:ascii="Times New Roman" w:hAnsi="Times New Roman"/>
          <w:noProof/>
          <w:sz w:val="24"/>
          <w:szCs w:val="24"/>
        </w:rPr>
        <w:t>.</w:t>
      </w:r>
      <w:r>
        <w:rPr>
          <w:rFonts w:ascii="Times New Roman" w:hAnsi="Times New Roman"/>
          <w:noProof/>
          <w:color w:val="000000"/>
          <w:sz w:val="24"/>
          <w:szCs w:val="24"/>
        </w:rPr>
        <w:t xml:space="preserve"> Είναι σημαντικό να συνεχιστεί η </w:t>
      </w:r>
      <w:r>
        <w:rPr>
          <w:rFonts w:ascii="Times New Roman" w:hAnsi="Times New Roman"/>
          <w:noProof/>
          <w:sz w:val="24"/>
          <w:szCs w:val="24"/>
        </w:rPr>
        <w:t>πρόοδος. Ωστόσο, χωρίς πρόσθετες εθνικές συνεισφορές, το Καταπιστευματικό Ταμείο της ΕΕ δεν θα έχει τη δυνατότητα να χρηματοδοτήσει νέες πρωτοβουλίες ή να συμπληρ</w:t>
      </w:r>
      <w:r>
        <w:rPr>
          <w:rFonts w:ascii="Times New Roman" w:hAnsi="Times New Roman"/>
          <w:noProof/>
          <w:sz w:val="24"/>
          <w:szCs w:val="24"/>
        </w:rPr>
        <w:t xml:space="preserve">ώσει τη στήριξη των εξαιρετικά πολύτιμων προγραμμάτων που αποφέρουν αποτελέσματα επί του παρόντος: εκτός από το έλλειμμα για το σκέλος για τη Βόρεια Αφρική, έλλειμμα χρηματοδότησης θα σημειωθεί επίσης για το σκέλος για το Σαχέλ και τη Λίμνη Τσαντ ήδη κατά </w:t>
      </w:r>
      <w:r>
        <w:rPr>
          <w:rFonts w:ascii="Times New Roman" w:hAnsi="Times New Roman"/>
          <w:noProof/>
          <w:sz w:val="24"/>
          <w:szCs w:val="24"/>
        </w:rPr>
        <w:t>το 2019. Εξίσου ουσιώδης παραμένει η ανάγκη να διασφαλιστεί ότι η ευελιξία και η ικανότητα αντίδρασης που παρέχουν σήμερα τα Καταπιστευματικά Ταμεία θα εξακολουθήσουν να αποτελούν βασικό χαρακτηριστικό στο πλαίσιο του επόμενου πολυετούς δημοσιονομικού πλαι</w:t>
      </w:r>
      <w:r>
        <w:rPr>
          <w:rFonts w:ascii="Times New Roman" w:hAnsi="Times New Roman"/>
          <w:noProof/>
          <w:sz w:val="24"/>
          <w:szCs w:val="24"/>
        </w:rPr>
        <w:t xml:space="preserve">σίου, καθώς και να εξασφαλιστεί η συνέχεια των δράσεων. </w:t>
      </w:r>
    </w:p>
    <w:p w:rsidR="00835C9C" w:rsidRDefault="00835C9C">
      <w:pPr>
        <w:jc w:val="both"/>
        <w:rPr>
          <w:rFonts w:ascii="Times New Roman" w:hAnsi="Times New Roman"/>
          <w:noProof/>
          <w:color w:val="000000"/>
          <w:sz w:val="24"/>
          <w:szCs w:val="24"/>
        </w:rPr>
      </w:pPr>
    </w:p>
    <w:p w:rsidR="00835C9C" w:rsidRDefault="003F26D7">
      <w:pPr>
        <w:jc w:val="both"/>
        <w:rPr>
          <w:rFonts w:ascii="Times New Roman" w:hAnsi="Times New Roman"/>
          <w:i/>
          <w:noProof/>
          <w:sz w:val="24"/>
          <w:szCs w:val="24"/>
        </w:rPr>
      </w:pPr>
      <w:r>
        <w:rPr>
          <w:rFonts w:ascii="Times New Roman" w:hAnsi="Times New Roman"/>
          <w:noProof/>
          <w:sz w:val="24"/>
        </w:rPr>
        <w:t>Περαιτέρω στήριξη για τα μέσα διαβίωσης και τις οικονομίες στην υποσαχάρια Αφρική και στις γειτονικές χώρες της ΕΕ θα παρασχεθεί μέσω του Εξωτερικού Επενδυτικού Σχεδίου. Ποσό ύψους 1,54 δισ. EUR για</w:t>
      </w:r>
      <w:r>
        <w:rPr>
          <w:rFonts w:ascii="Times New Roman" w:hAnsi="Times New Roman"/>
          <w:noProof/>
          <w:sz w:val="24"/>
        </w:rPr>
        <w:t xml:space="preserve"> 28 προγράμματα εγγυήσεων που έχει πλέον εγκριθεί αναμένεται να αποδεσμεύσει έως και 17,5 δισ. EUR σε επενδύσεις που καλύπτουν τομείς όπως η πρόσβαση σε χρηματοδότηση για πολύ μικρές, μικρές και μεσαίες επιχειρήσεις, η ενέργεια και η συνδεσιμότητα, οι πόλε</w:t>
      </w:r>
      <w:r>
        <w:rPr>
          <w:rFonts w:ascii="Times New Roman" w:hAnsi="Times New Roman"/>
          <w:noProof/>
          <w:sz w:val="24"/>
        </w:rPr>
        <w:t>ις, η γεωργία και ο ψηφιακός τομέας (συμπεριλαμβανομένης της ηλεκτρονικής υγείας)</w:t>
      </w:r>
      <w:r>
        <w:rPr>
          <w:rStyle w:val="FootnoteReference"/>
          <w:rFonts w:ascii="Times New Roman" w:hAnsi="Times New Roman"/>
          <w:noProof/>
          <w:sz w:val="24"/>
        </w:rPr>
        <w:footnoteReference w:id="29"/>
      </w:r>
      <w:r>
        <w:rPr>
          <w:noProof/>
        </w:rPr>
        <w:t>.</w:t>
      </w:r>
      <w:r>
        <w:rPr>
          <w:rFonts w:ascii="Times New Roman" w:hAnsi="Times New Roman"/>
          <w:noProof/>
          <w:sz w:val="24"/>
        </w:rPr>
        <w:t xml:space="preserve"> Με 94 εγκεκριμένα έργα συνδυασμού μέσων χρηματοδότησης συνολικού ύψους 2,2 δισ. EUR, τα οποία αναμένεται να αποδεσμεύσουν 19,5 δισ. EUR, οι συνολικές αναμενόμενες επενδύσεις ανέρχονται περίπου σε 37 δισ. EUR και το Εξωτερικό Επενδυτικό Σχέδιο βρίσκεται σε</w:t>
      </w:r>
      <w:r>
        <w:rPr>
          <w:rFonts w:ascii="Times New Roman" w:hAnsi="Times New Roman"/>
          <w:noProof/>
          <w:sz w:val="24"/>
        </w:rPr>
        <w:t xml:space="preserve"> σωστή πορεία για να επιτύχει την αρχική πρόβλεψη της μόχλευσης 44 δισ. EUR, δίνοντας μεγάλη ώθηση στην οικονομική δυναμική. </w:t>
      </w:r>
    </w:p>
    <w:p w:rsidR="00835C9C" w:rsidRDefault="00835C9C">
      <w:pPr>
        <w:jc w:val="both"/>
        <w:rPr>
          <w:rFonts w:ascii="Times New Roman" w:hAnsi="Times New Roman"/>
          <w:noProof/>
          <w:color w:val="000000"/>
          <w:sz w:val="24"/>
          <w:szCs w:val="24"/>
        </w:rPr>
      </w:pPr>
    </w:p>
    <w:p w:rsidR="00835C9C" w:rsidRDefault="003F26D7">
      <w:pPr>
        <w:spacing w:after="120"/>
        <w:rPr>
          <w:rFonts w:ascii="Times New Roman" w:hAnsi="Times New Roman"/>
          <w:i/>
          <w:noProof/>
          <w:color w:val="000000"/>
          <w:sz w:val="24"/>
          <w:szCs w:val="24"/>
        </w:rPr>
      </w:pPr>
      <w:r>
        <w:rPr>
          <w:rFonts w:ascii="Times New Roman" w:hAnsi="Times New Roman"/>
          <w:i/>
          <w:noProof/>
          <w:color w:val="000000"/>
          <w:sz w:val="24"/>
        </w:rPr>
        <w:t>Καταπολέμηση των δικτύων λαθραίας διακίνησης</w:t>
      </w:r>
    </w:p>
    <w:p w:rsidR="00835C9C" w:rsidRDefault="003F26D7">
      <w:pPr>
        <w:jc w:val="both"/>
        <w:rPr>
          <w:rFonts w:ascii="Times New Roman" w:hAnsi="Times New Roman"/>
          <w:noProof/>
          <w:sz w:val="24"/>
          <w:szCs w:val="24"/>
        </w:rPr>
      </w:pPr>
      <w:r>
        <w:rPr>
          <w:rFonts w:ascii="Times New Roman" w:hAnsi="Times New Roman"/>
          <w:noProof/>
          <w:sz w:val="24"/>
        </w:rPr>
        <w:t>Απαιτείται αποφασιστική και διαρκής δράση τόσο εντός όσο και εκτός της ΕΕ για την πά</w:t>
      </w:r>
      <w:r>
        <w:rPr>
          <w:rFonts w:ascii="Times New Roman" w:hAnsi="Times New Roman"/>
          <w:noProof/>
          <w:sz w:val="24"/>
        </w:rPr>
        <w:t>ταξη του επιχειρηματικού μοντέλου των διακινητών και την εξάρθρωση των εγκληματικών δικτύων. Το Ευρωπαϊκό Συμβούλιο επανέλαβε αυτό το σκεπτικό τον Οκτώβριο του 2018, με αποτέλεσμα να διαμορφωθεί ένα σύνολο επιχειρησιακών μέτρων που εγκρίθηκαν τον Δεκέμβριο</w:t>
      </w:r>
      <w:r>
        <w:rPr>
          <w:rFonts w:ascii="Times New Roman" w:hAnsi="Times New Roman"/>
          <w:noProof/>
          <w:sz w:val="24"/>
        </w:rPr>
        <w:t xml:space="preserve"> του 2018</w:t>
      </w:r>
      <w:r>
        <w:rPr>
          <w:rStyle w:val="FootnoteReference"/>
          <w:rFonts w:ascii="Times New Roman" w:hAnsi="Times New Roman"/>
          <w:noProof/>
          <w:sz w:val="24"/>
        </w:rPr>
        <w:footnoteReference w:id="30"/>
      </w:r>
      <w:r>
        <w:rPr>
          <w:rFonts w:ascii="Times New Roman" w:hAnsi="Times New Roman"/>
          <w:noProof/>
          <w:sz w:val="24"/>
        </w:rPr>
        <w:t xml:space="preserve"> για τη βελτίωση της συνεργασίας στον τομέα της επιβολής του νόμου και τη συμπλήρωση του υφιστάμενου σχεδίου δράσης κατά της λαθραίας διακίνησης μεταναστών</w:t>
      </w:r>
      <w:r>
        <w:rPr>
          <w:rStyle w:val="FootnoteReference"/>
          <w:rFonts w:ascii="Times New Roman" w:hAnsi="Times New Roman"/>
          <w:noProof/>
          <w:sz w:val="24"/>
        </w:rPr>
        <w:footnoteReference w:id="31"/>
      </w:r>
      <w:r>
        <w:rPr>
          <w:noProof/>
        </w:rPr>
        <w:t>.</w:t>
      </w:r>
      <w:r>
        <w:rPr>
          <w:rFonts w:ascii="Times New Roman" w:hAnsi="Times New Roman"/>
          <w:noProof/>
          <w:sz w:val="24"/>
        </w:rPr>
        <w:t xml:space="preserve"> </w:t>
      </w:r>
    </w:p>
    <w:p w:rsidR="00835C9C" w:rsidRDefault="00835C9C">
      <w:pPr>
        <w:jc w:val="both"/>
        <w:rPr>
          <w:rFonts w:ascii="Times New Roman" w:hAnsi="Times New Roman"/>
          <w:noProof/>
          <w:sz w:val="24"/>
          <w:szCs w:val="24"/>
        </w:rPr>
      </w:pPr>
    </w:p>
    <w:p w:rsidR="00835C9C" w:rsidRDefault="003F26D7">
      <w:pPr>
        <w:jc w:val="both"/>
        <w:rPr>
          <w:rFonts w:ascii="Times New Roman" w:hAnsi="Times New Roman"/>
          <w:noProof/>
          <w:sz w:val="24"/>
        </w:rPr>
      </w:pPr>
      <w:r>
        <w:rPr>
          <w:rFonts w:ascii="Times New Roman" w:hAnsi="Times New Roman"/>
          <w:noProof/>
          <w:sz w:val="24"/>
          <w:szCs w:val="24"/>
        </w:rPr>
        <w:t xml:space="preserve">Η καταπολέμηση των δικτύων λαθραίας διακίνησης αποτελεί σημαντικό μέρος του έργου που </w:t>
      </w:r>
      <w:r>
        <w:rPr>
          <w:rFonts w:ascii="Times New Roman" w:hAnsi="Times New Roman"/>
          <w:noProof/>
          <w:sz w:val="24"/>
          <w:szCs w:val="24"/>
        </w:rPr>
        <w:t xml:space="preserve">επιτελεί η ΕΕ από κοινού με τρίτες χώρες εταίρους. </w:t>
      </w:r>
      <w:r>
        <w:rPr>
          <w:rFonts w:ascii="Times New Roman" w:hAnsi="Times New Roman"/>
          <w:noProof/>
          <w:color w:val="000000"/>
          <w:sz w:val="24"/>
          <w:szCs w:val="24"/>
        </w:rPr>
        <w:t xml:space="preserve">Μια νέα επιχειρησιακή εταιρική σχέση, υπό την ηγεσία της Γαλλίας μαζί με τη Σενεγάλη, θα υλοποιηθεί στο πλαίσιο του Καταπιστευματικού Ταμείου. Στον Νίγηρα, οι κοινές ομάδες έρευνας στο πλαίσιο των οποίων </w:t>
      </w:r>
      <w:r>
        <w:rPr>
          <w:rFonts w:ascii="Times New Roman" w:hAnsi="Times New Roman"/>
          <w:noProof/>
          <w:sz w:val="24"/>
          <w:szCs w:val="24"/>
        </w:rPr>
        <w:t>ε</w:t>
      </w:r>
      <w:r>
        <w:rPr>
          <w:rFonts w:ascii="Times New Roman" w:hAnsi="Times New Roman"/>
          <w:noProof/>
          <w:sz w:val="24"/>
          <w:szCs w:val="24"/>
        </w:rPr>
        <w:t>ργάζονται οι νιγηρικές, γαλλικές και ισπανικές αρχές, έχουν οδηγήσει σε περισσότερες από 200 ποινικές διώξεις. Τώρα η προσπάθεια αυτή πρέπει να επεκταθεί με έμφαση στα νότια σύνορα της Λιβύης, στα σύνορα Νίγηρα-Αλγερίας και στα σύνορα Νίγηρα-Νιγηρίας. Επιπ</w:t>
      </w:r>
      <w:r>
        <w:rPr>
          <w:rFonts w:ascii="Times New Roman" w:hAnsi="Times New Roman"/>
          <w:noProof/>
          <w:sz w:val="24"/>
          <w:szCs w:val="24"/>
        </w:rPr>
        <w:t>λέον, έξι εκστρατείες ενημέρωσης και ευαισθητοποίησης σχετικά με τους κινδύνους της παράτυπης μετανάστευσης ξεκίνησαν φέτος στην Ακτή Ελεφαντοστού, στον Νίγηρα, στην Τυνησία, στο Μάλι, στη Γουινέα και στην Γκάμπια</w:t>
      </w:r>
      <w:r>
        <w:rPr>
          <w:rStyle w:val="FootnoteReference"/>
          <w:rFonts w:ascii="Times New Roman" w:hAnsi="Times New Roman"/>
          <w:noProof/>
          <w:sz w:val="24"/>
        </w:rPr>
        <w:footnoteReference w:id="32"/>
      </w:r>
      <w:r>
        <w:rPr>
          <w:noProof/>
        </w:rPr>
        <w:t>.</w:t>
      </w:r>
    </w:p>
    <w:p w:rsidR="00835C9C" w:rsidRDefault="00835C9C">
      <w:pPr>
        <w:ind w:left="-51"/>
        <w:jc w:val="both"/>
        <w:rPr>
          <w:rFonts w:ascii="Times New Roman" w:hAnsi="Times New Roman"/>
          <w:noProof/>
          <w:color w:val="000000"/>
          <w:sz w:val="24"/>
          <w:szCs w:val="24"/>
        </w:rPr>
      </w:pPr>
    </w:p>
    <w:p w:rsidR="00835C9C" w:rsidRDefault="003F26D7">
      <w:pPr>
        <w:ind w:left="-51"/>
        <w:jc w:val="both"/>
        <w:rPr>
          <w:rFonts w:ascii="Times New Roman" w:hAnsi="Times New Roman"/>
          <w:noProof/>
          <w:sz w:val="24"/>
          <w:szCs w:val="24"/>
        </w:rPr>
      </w:pPr>
      <w:r>
        <w:rPr>
          <w:rFonts w:ascii="Times New Roman" w:hAnsi="Times New Roman"/>
          <w:noProof/>
          <w:color w:val="000000"/>
          <w:sz w:val="24"/>
        </w:rPr>
        <w:t>Το έργο που επιτελείται για την καταπολ</w:t>
      </w:r>
      <w:r>
        <w:rPr>
          <w:rFonts w:ascii="Times New Roman" w:hAnsi="Times New Roman"/>
          <w:noProof/>
          <w:color w:val="000000"/>
          <w:sz w:val="24"/>
        </w:rPr>
        <w:t xml:space="preserve">έμηση των δικτύων λαθραίας διακίνησης μεταναστών υποστηρίζεται από μια ολοένα αναπτυσσόμενη υποδομή. Το Κέντρο Ανταλλαγής </w:t>
      </w:r>
      <w:r>
        <w:rPr>
          <w:rFonts w:ascii="Times New Roman" w:hAnsi="Times New Roman"/>
          <w:noProof/>
          <w:color w:val="000000"/>
          <w:sz w:val="24"/>
          <w:szCs w:val="24"/>
        </w:rPr>
        <w:t>Πληροφοριών βελτιώνει την εικόνα της Ευρωπόλ σε επίπεδο πληροφοριών ασφαλείας και την υποστήριξή της προς</w:t>
      </w:r>
      <w:r>
        <w:rPr>
          <w:rFonts w:ascii="Times New Roman" w:hAnsi="Times New Roman"/>
          <w:noProof/>
          <w:sz w:val="24"/>
          <w:szCs w:val="24"/>
        </w:rPr>
        <w:t xml:space="preserve"> επιβολή του νόμου. Το πιλοτι</w:t>
      </w:r>
      <w:r>
        <w:rPr>
          <w:rFonts w:ascii="Times New Roman" w:hAnsi="Times New Roman"/>
          <w:noProof/>
          <w:sz w:val="24"/>
          <w:szCs w:val="24"/>
        </w:rPr>
        <w:t>κό έργο για τη μονάδα εγκληματολογικών πληροφοριών στο πλαίσιο της επιχείρησης «Σοφία» παρέχει μια «γέφυρα» για την ανταλλαγή πληροφοριών μεταξύ μη στρατιωτικών και στρατιωτικών παραγόντων. Οι επιχειρήσεις στο πλαίσιο της Κοινής Πολιτικής Ασφάλειας και Άμυ</w:t>
      </w:r>
      <w:r>
        <w:rPr>
          <w:rFonts w:ascii="Times New Roman" w:hAnsi="Times New Roman"/>
          <w:noProof/>
          <w:sz w:val="24"/>
          <w:szCs w:val="24"/>
        </w:rPr>
        <w:t>νας στο Σαχέλ αλληλοσυνδέονται σε ολοένα μεγαλύτερο βαθμό, προκειμένου να επιτευχθεί αντίκτυπος σε περιφερειακή κλίμακα. Οι Ευρωπαίοι Αξιωματικοί Σύνδεσμοι Μετανάστευσης που έχουν τοποθετηθεί από την Επιτροπή σε 12 χώρες εταίρους προτεραιότητας ενεργούν ως</w:t>
      </w:r>
      <w:r>
        <w:rPr>
          <w:rFonts w:ascii="Times New Roman" w:hAnsi="Times New Roman"/>
          <w:noProof/>
          <w:sz w:val="24"/>
          <w:szCs w:val="24"/>
        </w:rPr>
        <w:t xml:space="preserve"> βασικοί δίαυλοι επικοινωνίας</w:t>
      </w:r>
      <w:r>
        <w:rPr>
          <w:rStyle w:val="FootnoteReference"/>
          <w:rFonts w:ascii="Times New Roman" w:hAnsi="Times New Roman"/>
          <w:noProof/>
          <w:color w:val="000000"/>
          <w:sz w:val="24"/>
        </w:rPr>
        <w:footnoteReference w:id="33"/>
      </w:r>
      <w:r>
        <w:rPr>
          <w:noProof/>
        </w:rPr>
        <w:t>.</w:t>
      </w:r>
      <w:r>
        <w:rPr>
          <w:rFonts w:ascii="Times New Roman" w:hAnsi="Times New Roman"/>
          <w:noProof/>
          <w:color w:val="000000"/>
          <w:sz w:val="24"/>
        </w:rPr>
        <w:t xml:space="preserve"> Με την επίτευξη πολιτικής συμφωνίας μεταξύ του Ευρωπαϊκού Κοινοβουλίου και του Συμβουλίου σχετικά με την πρόσφατη πρόταση της Επιτροπής</w:t>
      </w:r>
      <w:r>
        <w:rPr>
          <w:rStyle w:val="FootnoteReference"/>
          <w:rFonts w:ascii="Times New Roman" w:hAnsi="Times New Roman"/>
          <w:noProof/>
          <w:color w:val="000000"/>
          <w:sz w:val="24"/>
        </w:rPr>
        <w:footnoteReference w:id="34"/>
      </w:r>
      <w:r>
        <w:rPr>
          <w:rFonts w:ascii="Times New Roman" w:hAnsi="Times New Roman"/>
          <w:noProof/>
          <w:color w:val="000000"/>
          <w:sz w:val="24"/>
        </w:rPr>
        <w:t>, θα ενισχυθεί περαιτέρω ο συντονισμός μεταξύ των δικτύων αξιωματικών συνδέσμων μετανάστ</w:t>
      </w:r>
      <w:r>
        <w:rPr>
          <w:rFonts w:ascii="Times New Roman" w:hAnsi="Times New Roman"/>
          <w:noProof/>
          <w:color w:val="000000"/>
          <w:sz w:val="24"/>
        </w:rPr>
        <w:t xml:space="preserve">ευσης, υπό τη διαχείριση των κρατών μελών, της Επιτροπής και των οργανισμών της ΕΕ. </w:t>
      </w:r>
    </w:p>
    <w:p w:rsidR="00835C9C" w:rsidRDefault="00835C9C">
      <w:pPr>
        <w:ind w:left="-51"/>
        <w:jc w:val="both"/>
        <w:rPr>
          <w:rFonts w:ascii="Times New Roman" w:hAnsi="Times New Roman"/>
          <w:noProof/>
          <w:sz w:val="24"/>
          <w:szCs w:val="24"/>
        </w:rPr>
      </w:pPr>
    </w:p>
    <w:p w:rsidR="00835C9C" w:rsidRDefault="003F26D7">
      <w:pPr>
        <w:ind w:left="-51"/>
        <w:jc w:val="both"/>
        <w:rPr>
          <w:rFonts w:ascii="Times New Roman" w:hAnsi="Times New Roman"/>
          <w:noProof/>
          <w:sz w:val="24"/>
          <w:szCs w:val="24"/>
        </w:rPr>
      </w:pPr>
      <w:r>
        <w:rPr>
          <w:rFonts w:ascii="Times New Roman" w:hAnsi="Times New Roman"/>
          <w:noProof/>
          <w:sz w:val="24"/>
        </w:rPr>
        <w:t xml:space="preserve">Εντός της ΕΕ, η επιχειρησιακή συνεργασία των κρατών μελών υποστηρίζεται μέσω ημερών κοινής δράσης, στις οποίες συμμετέχουν τα κράτη μέλη, τρίτες χώρες, οργανισμοί της ΕΕ </w:t>
      </w:r>
      <w:r>
        <w:rPr>
          <w:rFonts w:ascii="Times New Roman" w:hAnsi="Times New Roman"/>
          <w:noProof/>
          <w:sz w:val="24"/>
        </w:rPr>
        <w:t>και εξωτερικοί εταίροι</w:t>
      </w:r>
      <w:r>
        <w:rPr>
          <w:rStyle w:val="FootnoteReference"/>
          <w:rFonts w:ascii="Times New Roman" w:hAnsi="Times New Roman"/>
          <w:noProof/>
          <w:sz w:val="24"/>
        </w:rPr>
        <w:footnoteReference w:id="35"/>
      </w:r>
      <w:r>
        <w:rPr>
          <w:noProof/>
        </w:rPr>
        <w:t>.</w:t>
      </w:r>
      <w:r>
        <w:rPr>
          <w:rFonts w:ascii="Times New Roman" w:hAnsi="Times New Roman"/>
          <w:noProof/>
          <w:sz w:val="24"/>
        </w:rPr>
        <w:t xml:space="preserve"> Το 2018, το Ευρωπαϊκό Κέντρο κατά της Λαθραίας Διακίνησης Μεταναστών της Ευρωπόλ υποστήριξε 39 ημέρες μεικτής και κοινής δράσης, που οδήγησαν σε 607 συλλήψεις, καθώς και 101 ποινικές υποθέσεις προτεραιότητας. Η ανταλλαγή πληροφοριώ</w:t>
      </w:r>
      <w:r>
        <w:rPr>
          <w:rFonts w:ascii="Times New Roman" w:hAnsi="Times New Roman"/>
          <w:noProof/>
          <w:sz w:val="24"/>
        </w:rPr>
        <w:t xml:space="preserve">ν εξακολουθεί να είναι καίριας σημασίας: </w:t>
      </w:r>
      <w:r>
        <w:rPr>
          <w:rFonts w:ascii="Times New Roman" w:hAnsi="Times New Roman"/>
          <w:noProof/>
          <w:color w:val="000000"/>
          <w:sz w:val="24"/>
        </w:rPr>
        <w:t xml:space="preserve">Η Eurostat προβαίνει σε πιλοτική συλλογή δεδομένων από στατιστικές της ποινικής δικαιοσύνης σχετικά με τη λαθραία διακίνηση μεταναστών, προσφέροντας σημαντικά οφέλη σε επίπεδο ανάλυσης των διαφόρων τάσεων και </w:t>
      </w:r>
      <w:r>
        <w:rPr>
          <w:rFonts w:ascii="Times New Roman" w:hAnsi="Times New Roman"/>
          <w:noProof/>
          <w:color w:val="000000"/>
          <w:sz w:val="24"/>
        </w:rPr>
        <w:t>αντίδρασης σε αυτές.</w:t>
      </w:r>
    </w:p>
    <w:p w:rsidR="00835C9C" w:rsidRDefault="00835C9C">
      <w:pPr>
        <w:jc w:val="both"/>
        <w:rPr>
          <w:rFonts w:ascii="Times New Roman" w:hAnsi="Times New Roman"/>
          <w:noProof/>
          <w:color w:val="000000"/>
          <w:sz w:val="24"/>
          <w:szCs w:val="24"/>
        </w:rPr>
      </w:pPr>
    </w:p>
    <w:p w:rsidR="00835C9C" w:rsidRDefault="003F26D7">
      <w:pPr>
        <w:spacing w:after="120"/>
        <w:jc w:val="both"/>
        <w:rPr>
          <w:rFonts w:ascii="Times New Roman" w:hAnsi="Times New Roman"/>
          <w:i/>
          <w:noProof/>
          <w:color w:val="000000"/>
          <w:sz w:val="24"/>
          <w:szCs w:val="24"/>
        </w:rPr>
      </w:pPr>
      <w:r>
        <w:rPr>
          <w:rFonts w:ascii="Times New Roman" w:hAnsi="Times New Roman"/>
          <w:i/>
          <w:noProof/>
          <w:color w:val="000000"/>
          <w:sz w:val="24"/>
        </w:rPr>
        <w:t>Επιστροφή και επανεισδοχή</w:t>
      </w:r>
    </w:p>
    <w:p w:rsidR="00835C9C" w:rsidRDefault="003F26D7">
      <w:pPr>
        <w:jc w:val="both"/>
        <w:rPr>
          <w:rFonts w:ascii="Times New Roman" w:hAnsi="Times New Roman"/>
          <w:noProof/>
          <w:color w:val="000000"/>
          <w:sz w:val="24"/>
          <w:szCs w:val="24"/>
        </w:rPr>
      </w:pPr>
      <w:r>
        <w:rPr>
          <w:rFonts w:ascii="Times New Roman" w:hAnsi="Times New Roman"/>
          <w:noProof/>
          <w:color w:val="000000"/>
          <w:sz w:val="24"/>
        </w:rPr>
        <w:t>Η αντιμετώπιση του χαμηλού ποσοστού επιστροφών από την ΕΕ πρέπει να εξακολουθήσει να αποτελεί βασικό στόχο. Πρόκειται για απαραίτητο κρίκο στην αλυσίδα της διαχείρισης της μετανάστευσης. Τα χαμηλά ποσοστά επι</w:t>
      </w:r>
      <w:r>
        <w:rPr>
          <w:rFonts w:ascii="Times New Roman" w:hAnsi="Times New Roman"/>
          <w:noProof/>
          <w:color w:val="000000"/>
          <w:sz w:val="24"/>
        </w:rPr>
        <w:t>στροφών υπονομεύουν την αξιοπιστία του συστήματος στην αντίληψη του κοινού και αυξάνουν τα κίνητρα για παράτυπη μετανάστευση και δευτερογενείς μετακινήσεις. Για τον λόγο αυτόν απαιτείται δράση τόσο εντός της ΕΕ όσο και σε συνεργασία με τρίτες χώρες. Υπάρχο</w:t>
      </w:r>
      <w:r>
        <w:rPr>
          <w:rFonts w:ascii="Times New Roman" w:hAnsi="Times New Roman"/>
          <w:noProof/>
          <w:color w:val="000000"/>
          <w:sz w:val="24"/>
        </w:rPr>
        <w:t>υν άμεσα μέτρα τα οποία θα πρέπει να λάβουν τα κράτη μέλη για να βελτιώσουν τις εσωτερικές τους διαδικασίες επιστροφής προκειμένου να διασφαλιστεί η ταχεία και υπό ανθρώπινες συνθήκες επιστροφή όσων δεν χρήζουν διεθνούς προστασίας – βάσει του σχεδίου δράση</w:t>
      </w:r>
      <w:r>
        <w:rPr>
          <w:rFonts w:ascii="Times New Roman" w:hAnsi="Times New Roman"/>
          <w:noProof/>
          <w:color w:val="000000"/>
          <w:sz w:val="24"/>
        </w:rPr>
        <w:t>ς και των συγκεκριμένων συστάσεων που διατύπωσε η Επιτροπή το 2017</w:t>
      </w:r>
      <w:r>
        <w:rPr>
          <w:rStyle w:val="FootnoteReference"/>
          <w:rFonts w:ascii="Times New Roman" w:hAnsi="Times New Roman"/>
          <w:noProof/>
          <w:color w:val="000000"/>
          <w:sz w:val="24"/>
        </w:rPr>
        <w:footnoteReference w:id="36"/>
      </w:r>
      <w:r>
        <w:rPr>
          <w:noProof/>
        </w:rPr>
        <w:t>.</w:t>
      </w:r>
      <w:r>
        <w:rPr>
          <w:rFonts w:ascii="Times New Roman" w:hAnsi="Times New Roman"/>
          <w:noProof/>
          <w:color w:val="000000"/>
          <w:sz w:val="24"/>
        </w:rPr>
        <w:t xml:space="preserve"> Μέσω αυτών καταδείχθηκε πώς θα μπορούσαν να χρησιμοποιηθούν καλύτερα τα υφιστάμενα νομικά, επιχειρησιακά και χρηματοδοτικά μέσα της ΕΕ, με ταχύτερες διαδικασίες, ισχυρότερα μέτρα κατά της</w:t>
      </w:r>
      <w:r>
        <w:rPr>
          <w:rFonts w:ascii="Times New Roman" w:hAnsi="Times New Roman"/>
          <w:noProof/>
          <w:color w:val="000000"/>
          <w:sz w:val="24"/>
        </w:rPr>
        <w:t xml:space="preserve"> διαφυγής, την υιοθέτηση πολυτομεακής προσέγγισης από τις εθνικές αρχές, καθώς και την καλύτερη συνεργασία και τον συντονισμό μεταξύ των κρατών μελών. </w:t>
      </w:r>
    </w:p>
    <w:p w:rsidR="00835C9C" w:rsidRDefault="00835C9C">
      <w:pPr>
        <w:jc w:val="both"/>
        <w:rPr>
          <w:rFonts w:ascii="Times New Roman" w:hAnsi="Times New Roman"/>
          <w:noProof/>
          <w:color w:val="000000"/>
          <w:sz w:val="24"/>
          <w:szCs w:val="24"/>
        </w:rPr>
      </w:pPr>
    </w:p>
    <w:p w:rsidR="00835C9C" w:rsidRDefault="003F26D7">
      <w:pPr>
        <w:jc w:val="both"/>
        <w:rPr>
          <w:rFonts w:ascii="Times New Roman" w:hAnsi="Times New Roman"/>
          <w:noProof/>
          <w:color w:val="000000"/>
          <w:sz w:val="24"/>
          <w:szCs w:val="24"/>
        </w:rPr>
      </w:pPr>
      <w:r>
        <w:rPr>
          <w:rFonts w:ascii="Times New Roman" w:hAnsi="Times New Roman"/>
          <w:noProof/>
          <w:color w:val="000000"/>
          <w:sz w:val="24"/>
        </w:rPr>
        <w:t xml:space="preserve">Τα εν λόγω άμεσα μέτρα των κρατών μελών θα πρέπει να υποστηρίζονται από περαιτέρω μέτρα σε επίπεδο ΕΕ. </w:t>
      </w:r>
      <w:r>
        <w:rPr>
          <w:rFonts w:ascii="Times New Roman" w:hAnsi="Times New Roman"/>
          <w:noProof/>
          <w:color w:val="000000"/>
          <w:sz w:val="24"/>
        </w:rPr>
        <w:t>Οι προσφάτως εγκριθείσες μεταρρυθμίσεις του Συστήματος Πληροφοριών Σένγκεν θα ενισχύσουν σημαντικά την ικανότητα των κρατών μελών να επιβάλλουν τις αποφάσεις επιστροφής και τις απαγορεύσεις εισόδου</w:t>
      </w:r>
      <w:r>
        <w:rPr>
          <w:rStyle w:val="FootnoteReference"/>
          <w:rFonts w:ascii="Times New Roman" w:hAnsi="Times New Roman"/>
          <w:noProof/>
          <w:color w:val="000000"/>
          <w:sz w:val="24"/>
        </w:rPr>
        <w:footnoteReference w:id="37"/>
      </w:r>
      <w:r>
        <w:rPr>
          <w:noProof/>
        </w:rPr>
        <w:t>.</w:t>
      </w:r>
      <w:r>
        <w:rPr>
          <w:rFonts w:ascii="Times New Roman" w:hAnsi="Times New Roman"/>
          <w:noProof/>
          <w:color w:val="000000"/>
          <w:sz w:val="24"/>
        </w:rPr>
        <w:t xml:space="preserve"> Έχει επίσης αυξηθεί σημαντικά η στήριξη από τον Ευρωπαϊκ</w:t>
      </w:r>
      <w:r>
        <w:rPr>
          <w:rFonts w:ascii="Times New Roman" w:hAnsi="Times New Roman"/>
          <w:noProof/>
          <w:color w:val="000000"/>
          <w:sz w:val="24"/>
        </w:rPr>
        <w:t>ό Οργανισμό Συνοριοφυλακής και Ακτοφυλακής σε θέματα επιστροφής, τόσο μέσω συνεργασίας όσο και μέσω επιχειρησιακής δράσης σε τομείς όπως, μεταξύ άλλων, οι πτήσεις επιστροφής και ο ρόλος των προξενείων</w:t>
      </w:r>
      <w:r>
        <w:rPr>
          <w:rStyle w:val="FootnoteReference"/>
          <w:rFonts w:ascii="Times New Roman" w:hAnsi="Times New Roman"/>
          <w:noProof/>
          <w:color w:val="000000"/>
          <w:sz w:val="24"/>
        </w:rPr>
        <w:footnoteReference w:id="38"/>
      </w:r>
      <w:r>
        <w:rPr>
          <w:noProof/>
        </w:rPr>
        <w:t>.</w:t>
      </w:r>
      <w:r>
        <w:rPr>
          <w:rFonts w:ascii="Times New Roman" w:hAnsi="Times New Roman"/>
          <w:noProof/>
          <w:color w:val="000000"/>
          <w:sz w:val="24"/>
        </w:rPr>
        <w:t xml:space="preserve"> Απαιτούνται όμως περισσότερες προσπάθειες. Το πρώτο α</w:t>
      </w:r>
      <w:r>
        <w:rPr>
          <w:rFonts w:ascii="Times New Roman" w:hAnsi="Times New Roman"/>
          <w:noProof/>
          <w:color w:val="000000"/>
          <w:sz w:val="24"/>
        </w:rPr>
        <w:t>πό τα επόμενα βήματα αναμένεται να γίνει με την πρόταση της Επιτροπής για τη μεταρρύθμιση της οδηγίας περί επιστροφής</w:t>
      </w:r>
      <w:r>
        <w:rPr>
          <w:rStyle w:val="FootnoteReference"/>
          <w:rFonts w:ascii="Times New Roman" w:hAnsi="Times New Roman"/>
          <w:noProof/>
          <w:color w:val="000000"/>
          <w:sz w:val="24"/>
        </w:rPr>
        <w:footnoteReference w:id="39"/>
      </w:r>
      <w:r>
        <w:rPr>
          <w:noProof/>
        </w:rPr>
        <w:t>:</w:t>
      </w:r>
      <w:r>
        <w:rPr>
          <w:rFonts w:ascii="Times New Roman" w:hAnsi="Times New Roman"/>
          <w:noProof/>
          <w:color w:val="000000"/>
          <w:sz w:val="24"/>
        </w:rPr>
        <w:t xml:space="preserve"> η ταχεία έγκριση αυτής της πρότασης θα αποφέρει σπουδαία οφέλη για τη συνεκτικότητα και την αποτελεσματικότητα των διαδικασιών επιστροφή</w:t>
      </w:r>
      <w:r>
        <w:rPr>
          <w:rFonts w:ascii="Times New Roman" w:hAnsi="Times New Roman"/>
          <w:noProof/>
          <w:color w:val="000000"/>
          <w:sz w:val="24"/>
        </w:rPr>
        <w:t>ς, διασφαλίζοντας παράλληλα τα θεμελιώδη δικαιώματα και τηρώντας την αρχή της μη επαναπροώθησης</w:t>
      </w:r>
      <w:r>
        <w:rPr>
          <w:rStyle w:val="FootnoteReference"/>
          <w:rFonts w:ascii="Times New Roman" w:hAnsi="Times New Roman"/>
          <w:noProof/>
          <w:color w:val="000000"/>
          <w:sz w:val="24"/>
        </w:rPr>
        <w:footnoteReference w:id="40"/>
      </w:r>
      <w:r>
        <w:rPr>
          <w:noProof/>
        </w:rPr>
        <w:t>.</w:t>
      </w:r>
      <w:r>
        <w:rPr>
          <w:rFonts w:ascii="Times New Roman" w:hAnsi="Times New Roman"/>
          <w:noProof/>
          <w:color w:val="000000"/>
          <w:sz w:val="24"/>
        </w:rPr>
        <w:t xml:space="preserve"> </w:t>
      </w:r>
    </w:p>
    <w:p w:rsidR="00835C9C" w:rsidRDefault="00835C9C">
      <w:pPr>
        <w:jc w:val="both"/>
        <w:rPr>
          <w:rFonts w:ascii="Times New Roman" w:hAnsi="Times New Roman"/>
          <w:noProof/>
          <w:color w:val="000000"/>
          <w:sz w:val="24"/>
          <w:szCs w:val="24"/>
        </w:rPr>
      </w:pPr>
    </w:p>
    <w:p w:rsidR="00835C9C" w:rsidRDefault="003F26D7">
      <w:pPr>
        <w:jc w:val="both"/>
        <w:rPr>
          <w:rFonts w:ascii="Times New Roman" w:hAnsi="Times New Roman"/>
          <w:noProof/>
          <w:color w:val="000000"/>
          <w:sz w:val="24"/>
          <w:szCs w:val="24"/>
        </w:rPr>
      </w:pPr>
      <w:r>
        <w:rPr>
          <w:rFonts w:ascii="Times New Roman" w:hAnsi="Times New Roman"/>
          <w:noProof/>
          <w:color w:val="000000"/>
          <w:sz w:val="24"/>
        </w:rPr>
        <w:t>Χάρη στην επένδυση στον διάλογο με τις χώρες εταίρους κατά τη διάρκεια των τελευταίων τεσσάρων ετών έχουν επιτευχθεί απτά βήματα προόδου. Η συνεργασία στο πλαίσιο των 17 υφιστάμενων συμφωνιών επανεισδοχής και των έξι πιο πρόσφατων πρακτικών ρυθμίσεων αρχίζ</w:t>
      </w:r>
      <w:r>
        <w:rPr>
          <w:rFonts w:ascii="Times New Roman" w:hAnsi="Times New Roman"/>
          <w:noProof/>
          <w:color w:val="000000"/>
          <w:sz w:val="24"/>
        </w:rPr>
        <w:t>ει να αποδίδει καρπούς στους τομείς της ταυτοποίησης, της παροχής εγγράφων και της ομαλής επιστροφής, συνοδευόμενη και από επιχειρησιακή στήριξη. Ωστόσο, για την πλήρη αξιοποίηση των δυνατοτήτων του πλαισίου αυτού –καθώς επίσης και για την κάλυψη πιθανών α</w:t>
      </w:r>
      <w:r>
        <w:rPr>
          <w:rFonts w:ascii="Times New Roman" w:hAnsi="Times New Roman"/>
          <w:noProof/>
          <w:color w:val="000000"/>
          <w:sz w:val="24"/>
        </w:rPr>
        <w:t>υξημένων αναγκών επιστροφής στο μέλλον– τα κράτη μέλη πρέπει να εκμεταλλευτούν τις ευκαιρίες που προσφέρει το εν λόγω πλαίσιο, να συμμετέχουν ενεργά στη διαχείριση των συμφωνιών και ρυθμίσεων και να επισημαίνουν στην Επιτροπή τυχόν προβλήματα που ανακύπτου</w:t>
      </w:r>
      <w:r>
        <w:rPr>
          <w:rFonts w:ascii="Times New Roman" w:hAnsi="Times New Roman"/>
          <w:noProof/>
          <w:color w:val="000000"/>
          <w:sz w:val="24"/>
        </w:rPr>
        <w:t xml:space="preserve">ν κατά την εφαρμογή. Η ΕΕ και τα κράτη μέλη της προσφέρουν επίσης βοήθεια μέσω της παροχής στήριξης για την επανένταξη των επιστρεφόντων: περισσότεροι από 60 100 μετανάστες έχουν λάβει βοήθεια επανένταξης από τον Μάιο του 2017. </w:t>
      </w:r>
    </w:p>
    <w:p w:rsidR="00835C9C" w:rsidRDefault="00835C9C">
      <w:pPr>
        <w:jc w:val="both"/>
        <w:rPr>
          <w:rFonts w:ascii="Times New Roman" w:hAnsi="Times New Roman"/>
          <w:noProof/>
          <w:color w:val="000000"/>
          <w:sz w:val="24"/>
          <w:szCs w:val="24"/>
        </w:rPr>
      </w:pPr>
    </w:p>
    <w:p w:rsidR="00835C9C" w:rsidRDefault="003F26D7">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Η Επιτροπή θα επιδιώξει να</w:t>
      </w:r>
      <w:r>
        <w:rPr>
          <w:rFonts w:ascii="Times New Roman" w:hAnsi="Times New Roman"/>
          <w:noProof/>
          <w:color w:val="000000"/>
          <w:sz w:val="24"/>
        </w:rPr>
        <w:t xml:space="preserve"> αναπτύξει νέες ρυθμίσεις με άλλους εταίρους. Σε εξέλιξη βρίσκονται διαπραγματεύσεις για συμφωνίες επανεισδοχής με τη Νιγηρία, την Τυνησία και την Κίνα ενώ σύντομα αναμένεται η επανέναρξη των διαπραγματεύσεων με το Μαρόκο. Όποτε κρίνεται αναγκαίο, θα πρέπε</w:t>
      </w:r>
      <w:r>
        <w:rPr>
          <w:rFonts w:ascii="Times New Roman" w:hAnsi="Times New Roman"/>
          <w:noProof/>
          <w:color w:val="000000"/>
          <w:sz w:val="24"/>
        </w:rPr>
        <w:t>ι να κινητοποιείται ευρύτερο φάσμα μόχλευσης από όλους τους συναφείς τομείς πολιτικής της ΕΕ, σε στενό συντονισμό με τη μόχλευση σε επίπεδο κρατών μελών. Η πολιτική θεωρήσεων της ΕΕ έχει ήδη συμβάλει στη διευκόλυνση των διαπραγματεύσεων σχετικά με την επαν</w:t>
      </w:r>
      <w:r>
        <w:rPr>
          <w:rFonts w:ascii="Times New Roman" w:hAnsi="Times New Roman"/>
          <w:noProof/>
          <w:color w:val="000000"/>
          <w:sz w:val="24"/>
        </w:rPr>
        <w:t>εισδοχή, ενώ και ο μηχανισμός αναστολής της απαλλαγής από την υποχρέωση θεώρησης έχει συντελέσει στην προσεκτική παρακολούθηση των υποχρεώσεων επανεισδοχής. Η Επιτροπή επικροτεί τη συμφωνία στην οποία κατέληξαν το Ευρωπαϊκό Κοινοβούλιο και το Συμβούλιο σχε</w:t>
      </w:r>
      <w:r>
        <w:rPr>
          <w:rFonts w:ascii="Times New Roman" w:hAnsi="Times New Roman"/>
          <w:noProof/>
          <w:color w:val="000000"/>
          <w:sz w:val="24"/>
        </w:rPr>
        <w:t>τικά με τη μεταρρύθμιση του κώδικα θεωρήσεων, συμπεριλαμβανομένης της δυνατότητας λήψης περιοριστικών μέτρων σε σχέση με τις θεωρήσεις κατά μη συνεργάσιμων τρίτων χωρών σε θέματα επανεισδοχής. Η λήψη περαιτέρω μέτρων για την ανάπτυξη μόχλευσης θα είναι απα</w:t>
      </w:r>
      <w:r>
        <w:rPr>
          <w:rFonts w:ascii="Times New Roman" w:hAnsi="Times New Roman"/>
          <w:noProof/>
          <w:color w:val="000000"/>
          <w:sz w:val="24"/>
        </w:rPr>
        <w:t>ραίτητη για την ενίσχυση της επανεισδοχής.</w:t>
      </w:r>
    </w:p>
    <w:p w:rsidR="00835C9C" w:rsidRDefault="00835C9C">
      <w:pPr>
        <w:jc w:val="both"/>
        <w:rPr>
          <w:rFonts w:ascii="Times New Roman" w:hAnsi="Times New Roman"/>
          <w:noProof/>
          <w:color w:val="000000"/>
          <w:sz w:val="24"/>
        </w:rPr>
      </w:pPr>
    </w:p>
    <w:tbl>
      <w:tblPr>
        <w:tblStyle w:val="TableGrid"/>
        <w:tblW w:w="0" w:type="auto"/>
        <w:tblLook w:val="04A0" w:firstRow="1" w:lastRow="0" w:firstColumn="1" w:lastColumn="0" w:noHBand="0" w:noVBand="1"/>
      </w:tblPr>
      <w:tblGrid>
        <w:gridCol w:w="9286"/>
      </w:tblGrid>
      <w:tr w:rsidR="00835C9C">
        <w:tc>
          <w:tcPr>
            <w:tcW w:w="9286" w:type="dxa"/>
            <w:shd w:val="clear" w:color="auto" w:fill="1F497D" w:themeFill="text2"/>
          </w:tcPr>
          <w:p w:rsidR="00835C9C" w:rsidRDefault="003F26D7">
            <w:pPr>
              <w:shd w:val="clear" w:color="auto" w:fill="1F497D" w:themeFill="text2"/>
              <w:spacing w:after="120"/>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Βασικές επόμενες ενέργειες</w:t>
            </w:r>
          </w:p>
        </w:tc>
      </w:tr>
      <w:tr w:rsidR="00835C9C">
        <w:tc>
          <w:tcPr>
            <w:tcW w:w="9286" w:type="dxa"/>
            <w:shd w:val="clear" w:color="auto" w:fill="C6D9F1" w:themeFill="text2" w:themeFillTint="33"/>
          </w:tcPr>
          <w:p w:rsidR="00835C9C" w:rsidRDefault="003F26D7">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Τα θεσμικά όργανα της ΕΕ πρέπει να διασφαλίσουν ότι το </w:t>
            </w:r>
            <w:r>
              <w:rPr>
                <w:rFonts w:ascii="Times New Roman" w:eastAsiaTheme="minorHAnsi" w:hAnsi="Times New Roman"/>
                <w:b/>
                <w:i/>
                <w:noProof/>
                <w:color w:val="000000"/>
                <w:sz w:val="24"/>
              </w:rPr>
              <w:t>επόμενο πολυετές δημοσιονομικό πλαίσιο</w:t>
            </w:r>
            <w:r>
              <w:rPr>
                <w:rFonts w:ascii="Times New Roman" w:eastAsiaTheme="minorHAnsi" w:hAnsi="Times New Roman"/>
                <w:noProof/>
                <w:color w:val="000000"/>
                <w:sz w:val="24"/>
              </w:rPr>
              <w:t xml:space="preserve"> θα παρέχει την κλίμακα και την ευελιξία που απαιτείται για την εμβάθυνση της συνεργασίας με τρίτες χώρες εταίρους σε θέματα μετανάστευσης.</w:t>
            </w:r>
          </w:p>
          <w:p w:rsidR="00835C9C" w:rsidRDefault="003F26D7">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Τα κράτη μέλη και η ΕΕ θα πρέπει να δώσουν συνέχεια στα μέτρα που εγκρίθηκαν τον Δεκέμβριο του 2018 για την </w:t>
            </w:r>
            <w:r>
              <w:rPr>
                <w:rFonts w:ascii="Times New Roman" w:eastAsiaTheme="minorHAnsi" w:hAnsi="Times New Roman"/>
                <w:b/>
                <w:i/>
                <w:noProof/>
                <w:color w:val="000000"/>
                <w:sz w:val="24"/>
              </w:rPr>
              <w:t>καταπολέ</w:t>
            </w:r>
            <w:r>
              <w:rPr>
                <w:rFonts w:ascii="Times New Roman" w:eastAsiaTheme="minorHAnsi" w:hAnsi="Times New Roman"/>
                <w:b/>
                <w:i/>
                <w:noProof/>
                <w:color w:val="000000"/>
                <w:sz w:val="24"/>
              </w:rPr>
              <w:t>μηση των δικτύων λαθραίας διακίνησης μεταναστών</w:t>
            </w:r>
            <w:r>
              <w:rPr>
                <w:rFonts w:ascii="Times New Roman" w:eastAsiaTheme="minorHAnsi" w:hAnsi="Times New Roman"/>
                <w:noProof/>
                <w:color w:val="000000"/>
                <w:sz w:val="24"/>
              </w:rPr>
              <w:t>, μεταξύ άλλων με την εντατικοποίηση των εργασιών του Ευρωπαϊκού Κέντρου κατά της Λαθραίας Διακίνησης Μεταναστών της Ευρωπόλ.</w:t>
            </w:r>
          </w:p>
          <w:p w:rsidR="00835C9C" w:rsidRDefault="003F26D7">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szCs w:val="24"/>
              </w:rPr>
              <w:t>Το Ευρωπαϊκό Κοινοβούλιο και το Συμβούλιο θα πρέπει να ολοκληρώσουν τις διαπραγματε</w:t>
            </w:r>
            <w:r>
              <w:rPr>
                <w:rFonts w:ascii="Times New Roman" w:eastAsiaTheme="minorHAnsi" w:hAnsi="Times New Roman"/>
                <w:noProof/>
                <w:color w:val="000000"/>
                <w:sz w:val="24"/>
                <w:szCs w:val="24"/>
              </w:rPr>
              <w:t xml:space="preserve">ύσεις σχετικά με την </w:t>
            </w:r>
            <w:r>
              <w:rPr>
                <w:rFonts w:ascii="Times New Roman" w:eastAsiaTheme="minorHAnsi" w:hAnsi="Times New Roman"/>
                <w:b/>
                <w:i/>
                <w:noProof/>
                <w:color w:val="000000"/>
                <w:sz w:val="24"/>
                <w:szCs w:val="24"/>
              </w:rPr>
              <w:t>πρόταση της Επιτροπής για την ενίσχυση των επιστροφών</w:t>
            </w:r>
            <w:r>
              <w:rPr>
                <w:rFonts w:ascii="Times New Roman" w:eastAsiaTheme="minorHAnsi" w:hAnsi="Times New Roman"/>
                <w:noProof/>
                <w:color w:val="000000"/>
                <w:sz w:val="24"/>
                <w:szCs w:val="24"/>
              </w:rPr>
              <w:t>. Τα κράτη μέλη θα πρέπει ήδη να αξιοποι</w:t>
            </w:r>
            <w:r>
              <w:rPr>
                <w:rFonts w:ascii="Times New Roman" w:hAnsi="Times New Roman"/>
                <w:noProof/>
                <w:sz w:val="24"/>
                <w:szCs w:val="24"/>
              </w:rPr>
              <w:t>ήσουν στο έπακρο τις δυνατότητες βελτίωσης της αποτελεσματικότητας των επιστροφών σύμφωνα με το ισχύον πλαίσιο.</w:t>
            </w:r>
          </w:p>
          <w:p w:rsidR="00835C9C" w:rsidRDefault="003F26D7">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Τα κράτη μέλη θα πρέπει να εξα</w:t>
            </w:r>
            <w:r>
              <w:rPr>
                <w:rFonts w:ascii="Times New Roman" w:eastAsiaTheme="minorHAnsi" w:hAnsi="Times New Roman"/>
                <w:noProof/>
                <w:color w:val="000000"/>
                <w:sz w:val="24"/>
              </w:rPr>
              <w:t xml:space="preserve">σφαλίσουν την πλήρη χρήση των </w:t>
            </w:r>
            <w:r>
              <w:rPr>
                <w:rFonts w:ascii="Times New Roman" w:eastAsiaTheme="minorHAnsi" w:hAnsi="Times New Roman"/>
                <w:b/>
                <w:i/>
                <w:noProof/>
                <w:color w:val="000000"/>
                <w:sz w:val="24"/>
              </w:rPr>
              <w:t xml:space="preserve">συμφωνιών και ρυθμίσεων επανεισδοχής </w:t>
            </w:r>
            <w:r>
              <w:rPr>
                <w:rFonts w:ascii="Times New Roman" w:eastAsiaTheme="minorHAnsi" w:hAnsi="Times New Roman"/>
                <w:noProof/>
                <w:color w:val="000000"/>
                <w:sz w:val="24"/>
              </w:rPr>
              <w:t xml:space="preserve">και η ΕΕ θα πρέπει να αναπτύξει </w:t>
            </w:r>
            <w:r>
              <w:rPr>
                <w:rFonts w:ascii="Times New Roman" w:eastAsiaTheme="minorHAnsi" w:hAnsi="Times New Roman"/>
                <w:b/>
                <w:i/>
                <w:noProof/>
                <w:color w:val="000000"/>
                <w:sz w:val="24"/>
              </w:rPr>
              <w:t>νέες συμφωνίες και ρυθμίσεις επανεισδοχής</w:t>
            </w:r>
            <w:r>
              <w:rPr>
                <w:rFonts w:ascii="Times New Roman" w:eastAsiaTheme="minorHAnsi" w:hAnsi="Times New Roman"/>
                <w:noProof/>
                <w:color w:val="000000"/>
                <w:sz w:val="24"/>
              </w:rPr>
              <w:t xml:space="preserve"> με άλλες τρίτες χώρες. </w:t>
            </w:r>
          </w:p>
          <w:p w:rsidR="00835C9C" w:rsidRDefault="003F26D7">
            <w:pPr>
              <w:pStyle w:val="ListParagraph"/>
              <w:numPr>
                <w:ilvl w:val="0"/>
                <w:numId w:val="68"/>
              </w:numPr>
              <w:ind w:left="360"/>
              <w:jc w:val="both"/>
              <w:rPr>
                <w:rFonts w:ascii="Times New Roman" w:hAnsi="Times New Roman"/>
                <w:noProof/>
                <w:sz w:val="24"/>
                <w:szCs w:val="24"/>
              </w:rPr>
            </w:pPr>
            <w:r>
              <w:rPr>
                <w:rFonts w:ascii="Times New Roman" w:eastAsiaTheme="minorHAnsi" w:hAnsi="Times New Roman"/>
                <w:noProof/>
                <w:color w:val="000000"/>
                <w:sz w:val="24"/>
              </w:rPr>
              <w:t xml:space="preserve">Τα κράτη μέλη και η ΕΕ θα πρέπει να επεκτείνουν τις </w:t>
            </w:r>
            <w:r>
              <w:rPr>
                <w:rFonts w:ascii="Times New Roman" w:eastAsiaTheme="minorHAnsi" w:hAnsi="Times New Roman"/>
                <w:b/>
                <w:i/>
                <w:noProof/>
                <w:color w:val="000000"/>
                <w:sz w:val="24"/>
              </w:rPr>
              <w:t>κοινές επιχειρησιακές εταιρικές σχέσεις</w:t>
            </w:r>
            <w:r>
              <w:rPr>
                <w:rFonts w:ascii="Times New Roman" w:eastAsiaTheme="minorHAnsi" w:hAnsi="Times New Roman"/>
                <w:noProof/>
                <w:color w:val="000000"/>
                <w:sz w:val="24"/>
              </w:rPr>
              <w:t xml:space="preserve"> με τρίτες χώρες για να στηρίξουν δραστηριότητες όπως οι κοινές ομάδες έρευνας, η ανάπτυξη ικανοτήτων και η ανταλλαγή αξιωματικών συνδέσμων.</w:t>
            </w:r>
          </w:p>
        </w:tc>
      </w:tr>
    </w:tbl>
    <w:p w:rsidR="00835C9C" w:rsidRDefault="00835C9C">
      <w:pPr>
        <w:jc w:val="both"/>
        <w:rPr>
          <w:rFonts w:ascii="Times New Roman" w:hAnsi="Times New Roman"/>
          <w:noProof/>
          <w:color w:val="000000"/>
          <w:sz w:val="24"/>
          <w:szCs w:val="24"/>
        </w:rPr>
      </w:pPr>
    </w:p>
    <w:p w:rsidR="00835C9C" w:rsidRDefault="00835C9C">
      <w:pPr>
        <w:jc w:val="both"/>
        <w:rPr>
          <w:rFonts w:ascii="Times New Roman" w:hAnsi="Times New Roman"/>
          <w:noProof/>
          <w:color w:val="000000"/>
          <w:sz w:val="24"/>
          <w:szCs w:val="24"/>
        </w:rPr>
      </w:pPr>
    </w:p>
    <w:p w:rsidR="00835C9C" w:rsidRDefault="003F26D7">
      <w:pPr>
        <w:pStyle w:val="ListParagraph"/>
        <w:numPr>
          <w:ilvl w:val="0"/>
          <w:numId w:val="3"/>
        </w:numPr>
        <w:jc w:val="both"/>
        <w:rPr>
          <w:rFonts w:ascii="Times New Roman" w:hAnsi="Times New Roman"/>
          <w:b/>
          <w:i/>
          <w:noProof/>
          <w:sz w:val="24"/>
          <w:szCs w:val="24"/>
        </w:rPr>
      </w:pPr>
      <w:r>
        <w:rPr>
          <w:rFonts w:ascii="Times New Roman" w:hAnsi="Times New Roman"/>
          <w:b/>
          <w:i/>
          <w:noProof/>
          <w:sz w:val="24"/>
        </w:rPr>
        <w:t>Διαχείριση των συνόρων – διάσωση ζωών και διασφάλιση των εξωτερικών συνόρων</w:t>
      </w:r>
    </w:p>
    <w:p w:rsidR="00835C9C" w:rsidRDefault="00835C9C">
      <w:pPr>
        <w:jc w:val="both"/>
        <w:rPr>
          <w:rFonts w:ascii="Times New Roman" w:hAnsi="Times New Roman"/>
          <w:b/>
          <w:i/>
          <w:noProof/>
          <w:color w:val="000000"/>
          <w:sz w:val="24"/>
          <w:szCs w:val="24"/>
        </w:rPr>
      </w:pPr>
    </w:p>
    <w:p w:rsidR="00835C9C" w:rsidRDefault="003F26D7">
      <w:pPr>
        <w:spacing w:after="120"/>
        <w:jc w:val="both"/>
        <w:rPr>
          <w:rFonts w:ascii="Times New Roman" w:hAnsi="Times New Roman"/>
          <w:i/>
          <w:noProof/>
          <w:color w:val="000000"/>
          <w:sz w:val="24"/>
          <w:szCs w:val="24"/>
        </w:rPr>
      </w:pPr>
      <w:r>
        <w:rPr>
          <w:rFonts w:ascii="Times New Roman" w:hAnsi="Times New Roman"/>
          <w:i/>
          <w:noProof/>
          <w:color w:val="000000"/>
          <w:sz w:val="24"/>
        </w:rPr>
        <w:t>Επιχειρησιακή δράση στα σύνορα</w:t>
      </w:r>
    </w:p>
    <w:p w:rsidR="00835C9C" w:rsidRDefault="003F26D7">
      <w:pPr>
        <w:jc w:val="both"/>
        <w:rPr>
          <w:rFonts w:ascii="Times New Roman" w:hAnsi="Times New Roman"/>
          <w:i/>
          <w:noProof/>
          <w:color w:val="000000"/>
          <w:sz w:val="24"/>
          <w:szCs w:val="24"/>
        </w:rPr>
      </w:pPr>
      <w:r>
        <w:rPr>
          <w:rFonts w:ascii="Times New Roman" w:hAnsi="Times New Roman"/>
          <w:noProof/>
          <w:color w:val="000000"/>
          <w:sz w:val="24"/>
        </w:rPr>
        <w:t xml:space="preserve">Η διάσωση ανθρώπων που βρίσκονται σε κατάσταση κινδύνου στη θάλασσα αποτελεί πρωταρχικό στόχο της δράσης της ΕΕ σε σχέση με τη διαχείριση των εξωτερικών συνόρων της ΕΕ. Ο </w:t>
      </w:r>
      <w:r>
        <w:rPr>
          <w:rFonts w:ascii="Times New Roman" w:hAnsi="Times New Roman"/>
          <w:noProof/>
          <w:sz w:val="24"/>
        </w:rPr>
        <w:t>Ευρωπαϊκός Οργανισμός Συνοριοφυλακής και Ακτοφυλακής</w:t>
      </w:r>
      <w:r>
        <w:rPr>
          <w:rFonts w:ascii="Times New Roman" w:hAnsi="Times New Roman"/>
          <w:noProof/>
          <w:color w:val="000000"/>
          <w:sz w:val="24"/>
        </w:rPr>
        <w:t xml:space="preserve"> συντονίζει θαλάσσιες κοινές επιχ</w:t>
      </w:r>
      <w:r>
        <w:rPr>
          <w:rFonts w:ascii="Times New Roman" w:hAnsi="Times New Roman"/>
          <w:noProof/>
          <w:color w:val="000000"/>
          <w:sz w:val="24"/>
        </w:rPr>
        <w:t>ειρήσεις για τη διασφάλιση του αποτελεσματικού ελέγχου των εξωτερικών συνόρων της ΕΕ στη θάλασσα. Όλα τα μέσα που συμμετέχουν στις εν λόγω επιχειρήσεις δεσμεύονται από το διεθνές δίκαιο και παρέχουν βοήθεια σε κάθε σκάφος που βρίσκεται σε κατάσταση κινδύνο</w:t>
      </w:r>
      <w:r>
        <w:rPr>
          <w:rFonts w:ascii="Times New Roman" w:hAnsi="Times New Roman"/>
          <w:noProof/>
          <w:color w:val="000000"/>
          <w:sz w:val="24"/>
        </w:rPr>
        <w:t>υ στη θάλασσα. Οι κοινές επιχειρήσεις «Θέμις», «Ποσειδών» και «Indalo», όπως και η επιχείρηση «Σοφία» στο πλαίσιο της Κοινής Πολιτικής Ασφάλειας και Άμυνας, συμβάλλουν σημαντικά στον έλεγχο των συνόρων, καθώς και στην έρευνα και διάσωση. Μόνο το 2018, διασ</w:t>
      </w:r>
      <w:r>
        <w:rPr>
          <w:rFonts w:ascii="Times New Roman" w:hAnsi="Times New Roman"/>
          <w:noProof/>
          <w:color w:val="000000"/>
          <w:sz w:val="24"/>
        </w:rPr>
        <w:t>ώθηκαν 39 300 άτομα περίπου από τα μέσα που αναπτύχθηκαν σε θαλάσσιες επιχειρήσεις της ΕΕ</w:t>
      </w:r>
      <w:r>
        <w:rPr>
          <w:rStyle w:val="FootnoteReference"/>
          <w:rFonts w:ascii="Times New Roman" w:hAnsi="Times New Roman"/>
          <w:noProof/>
          <w:color w:val="000000"/>
          <w:sz w:val="24"/>
        </w:rPr>
        <w:footnoteReference w:id="41"/>
      </w:r>
      <w:r>
        <w:rPr>
          <w:noProof/>
        </w:rPr>
        <w:t>.</w:t>
      </w:r>
      <w:r>
        <w:rPr>
          <w:rFonts w:ascii="Times New Roman" w:hAnsi="Times New Roman"/>
          <w:noProof/>
          <w:color w:val="000000"/>
          <w:sz w:val="24"/>
        </w:rPr>
        <w:t xml:space="preserve"> </w:t>
      </w:r>
    </w:p>
    <w:p w:rsidR="00835C9C" w:rsidRDefault="00835C9C">
      <w:pPr>
        <w:jc w:val="both"/>
        <w:rPr>
          <w:rFonts w:ascii="Times New Roman" w:hAnsi="Times New Roman"/>
          <w:i/>
          <w:noProof/>
          <w:color w:val="000000"/>
          <w:sz w:val="24"/>
          <w:szCs w:val="24"/>
        </w:rPr>
      </w:pPr>
    </w:p>
    <w:p w:rsidR="00835C9C" w:rsidRDefault="003F26D7">
      <w:pPr>
        <w:jc w:val="both"/>
        <w:rPr>
          <w:rFonts w:ascii="Times New Roman" w:hAnsi="Times New Roman"/>
          <w:noProof/>
          <w:sz w:val="24"/>
          <w:szCs w:val="24"/>
        </w:rPr>
      </w:pPr>
      <w:r>
        <w:rPr>
          <w:rFonts w:ascii="Times New Roman" w:hAnsi="Times New Roman"/>
          <w:noProof/>
          <w:sz w:val="24"/>
        </w:rPr>
        <w:t>Ο Ευρωπαϊκός Οργανισμός Συνοριοφυλακής και Ακτοφυλακής</w:t>
      </w:r>
      <w:r>
        <w:rPr>
          <w:rFonts w:ascii="Times New Roman" w:hAnsi="Times New Roman"/>
          <w:noProof/>
          <w:color w:val="000000"/>
          <w:sz w:val="24"/>
        </w:rPr>
        <w:t xml:space="preserve"> </w:t>
      </w:r>
      <w:r>
        <w:rPr>
          <w:rFonts w:ascii="Times New Roman" w:hAnsi="Times New Roman"/>
          <w:noProof/>
          <w:sz w:val="24"/>
        </w:rPr>
        <w:t xml:space="preserve">υλοποιεί επίσης συντονισμένες </w:t>
      </w:r>
      <w:r>
        <w:rPr>
          <w:rFonts w:ascii="Times New Roman" w:hAnsi="Times New Roman"/>
          <w:noProof/>
          <w:color w:val="000000"/>
          <w:sz w:val="24"/>
        </w:rPr>
        <w:t>επιχειρησιακές δραστηριότητες στα εξωτερικά χερσαία σύνορα, συμβάλλοντας στον</w:t>
      </w:r>
      <w:r>
        <w:rPr>
          <w:rFonts w:ascii="Times New Roman" w:hAnsi="Times New Roman"/>
          <w:noProof/>
          <w:color w:val="000000"/>
          <w:sz w:val="24"/>
        </w:rPr>
        <w:t xml:space="preserve"> έλεγχο της παράτυπης μετανάστευσης και στην καταπολέμηση της λαθραίας διακίνησης μεταναστών, καθώς και στην παροχή πληροφοριών. Είναι ουσιώδες να έχει ο Οργανισμός τη δυνατότητα να αντιδρά σε νέες τάσεις, όπως είναι η αυξημένη πίεση στη Δυτική Μεσόγειο. Ω</w:t>
      </w:r>
      <w:r>
        <w:rPr>
          <w:rFonts w:ascii="Times New Roman" w:hAnsi="Times New Roman"/>
          <w:noProof/>
          <w:color w:val="000000"/>
          <w:sz w:val="24"/>
        </w:rPr>
        <w:t xml:space="preserve">στόσο, ο Οργανισμός </w:t>
      </w:r>
      <w:r>
        <w:rPr>
          <w:rFonts w:ascii="Times New Roman" w:hAnsi="Times New Roman"/>
          <w:noProof/>
          <w:sz w:val="24"/>
        </w:rPr>
        <w:t>εξακολουθεί να βρίσκεται συστηματικά αντιμέτωπος με έλλειψη ανθρώπινων πόρων και τεχνικού εξοπλισμού και η κοινή ευθύνη τόσο των κρατών μελών όσο και του Οργανισμού δεν καλύπτεται με την παροχή των απαιτούμενων πόρων. Τα δύο σκέλη της Ε</w:t>
      </w:r>
      <w:r>
        <w:rPr>
          <w:rFonts w:ascii="Times New Roman" w:hAnsi="Times New Roman"/>
          <w:noProof/>
          <w:sz w:val="24"/>
        </w:rPr>
        <w:t>υρωπαϊκής Συνοριοφυλακής και Ακτοφυλακής είναι αλληλένδετα και μπορούν να διασφαλίσουν την ακεραιότητα του χώρου Σένγκεν μόνον εάν ενεργούν από κοινού.</w:t>
      </w:r>
    </w:p>
    <w:p w:rsidR="00835C9C" w:rsidRDefault="00835C9C">
      <w:pPr>
        <w:jc w:val="both"/>
        <w:rPr>
          <w:rFonts w:ascii="Times New Roman" w:hAnsi="Times New Roman"/>
          <w:noProof/>
          <w:color w:val="000000"/>
          <w:sz w:val="24"/>
          <w:szCs w:val="24"/>
        </w:rPr>
      </w:pPr>
    </w:p>
    <w:p w:rsidR="00835C9C" w:rsidRDefault="003F26D7">
      <w:pPr>
        <w:jc w:val="both"/>
        <w:rPr>
          <w:rFonts w:ascii="Times New Roman" w:hAnsi="Times New Roman"/>
          <w:noProof/>
          <w:color w:val="000000"/>
          <w:sz w:val="24"/>
          <w:szCs w:val="24"/>
        </w:rPr>
      </w:pPr>
      <w:r>
        <w:rPr>
          <w:rFonts w:ascii="Times New Roman" w:hAnsi="Times New Roman"/>
          <w:noProof/>
          <w:color w:val="000000"/>
          <w:sz w:val="24"/>
        </w:rPr>
        <w:t xml:space="preserve">Για τη διαχείριση των συνόρων πρέπει να επιστρατεύονται όλα τα διαθέσιμα εργαλεία. Αυτό σημαίνει πλήρη </w:t>
      </w:r>
      <w:r>
        <w:rPr>
          <w:rFonts w:ascii="Times New Roman" w:hAnsi="Times New Roman"/>
          <w:noProof/>
          <w:color w:val="000000"/>
          <w:sz w:val="24"/>
        </w:rPr>
        <w:t>αξιοποίηση των δυνατοτήτων της τεχνολογίας των πληροφοριών. Η επέκταση και η αναβάθμιση των συστημάτων τεχνολογίας των πληροφοριών που χρησιμοποιούνται για τη διαχείριση των συνόρων και την ασφάλεια προσφέρει νέες δυνατότητες για συνδυαστική χρήση των εργα</w:t>
      </w:r>
      <w:r>
        <w:rPr>
          <w:rFonts w:ascii="Times New Roman" w:hAnsi="Times New Roman"/>
          <w:noProof/>
          <w:color w:val="000000"/>
          <w:sz w:val="24"/>
        </w:rPr>
        <w:t>λείων αυτών. Η εφαρμογή των επικείμενων κανονισμών για τη διαλειτουργικότητα των συστημάτων πληροφοριών της ΕΕ –με τις κατάλληλες εγγυήσεις για την προστασία των δεδομένων– θα παράσχει στις αρχές τη δυνατότητα να εφαρμόζουν αποτελεσματικότερα τους κανόνες.</w:t>
      </w:r>
      <w:r>
        <w:rPr>
          <w:rFonts w:ascii="Times New Roman" w:hAnsi="Times New Roman"/>
          <w:noProof/>
          <w:color w:val="000000"/>
          <w:sz w:val="24"/>
        </w:rPr>
        <w:t xml:space="preserve"> </w:t>
      </w:r>
    </w:p>
    <w:p w:rsidR="00835C9C" w:rsidRDefault="00835C9C">
      <w:pPr>
        <w:jc w:val="both"/>
        <w:rPr>
          <w:rFonts w:ascii="Times New Roman" w:hAnsi="Times New Roman"/>
          <w:b/>
          <w:noProof/>
          <w:color w:val="000000"/>
          <w:sz w:val="24"/>
          <w:szCs w:val="24"/>
        </w:rPr>
      </w:pPr>
    </w:p>
    <w:p w:rsidR="00835C9C" w:rsidRDefault="003F26D7">
      <w:pPr>
        <w:pStyle w:val="ListParagraph"/>
        <w:ind w:left="0"/>
        <w:jc w:val="both"/>
        <w:rPr>
          <w:rFonts w:ascii="Times New Roman" w:hAnsi="Times New Roman"/>
          <w:noProof/>
          <w:sz w:val="24"/>
          <w:szCs w:val="24"/>
        </w:rPr>
      </w:pPr>
      <w:r>
        <w:rPr>
          <w:rFonts w:ascii="Times New Roman" w:hAnsi="Times New Roman"/>
          <w:noProof/>
          <w:sz w:val="24"/>
        </w:rPr>
        <w:t>Στόχος της πρότασης της Επιτροπής του Σεπτεμβρίου του 2018 για μια ενισχυμένη και πλήρως εξοπλισμένη Ευρωπαϊκή Συνοριοφυλακή και Ακτοφυλακή είναι να πραγματοποιηθεί ένα αποφασιστικό βήμα προς την πραγματικά ολοκληρωμένη διαχείριση των συνόρων. Η πρόταση</w:t>
      </w:r>
      <w:r>
        <w:rPr>
          <w:rFonts w:ascii="Times New Roman" w:hAnsi="Times New Roman"/>
          <w:noProof/>
          <w:sz w:val="24"/>
        </w:rPr>
        <w:t xml:space="preserve"> προάγει την Ευρωπαϊκή Συνοριοφυλακή και Ακτοφυλακή σε ένα νέο επιχειρησιακό στάδιο με μόνιμο σώμα 10 000 μελών επιχειρησιακού προσωπικού που ασκεί εκτελεστικές εξουσίες και διαθέτει δικό του εξοπλισμό, ενώ παράλληλα σέβεται πλήρως τόσο τα θεμελιώδη δικαιώ</w:t>
      </w:r>
      <w:r>
        <w:rPr>
          <w:rFonts w:ascii="Times New Roman" w:hAnsi="Times New Roman"/>
          <w:noProof/>
          <w:sz w:val="24"/>
        </w:rPr>
        <w:t>ματα όσο και την κυριαρχία των κρατών μελών επί των συνόρων τους. Ο λόγος είναι ότι η ΕΕ δεν είναι ακόμη επαρκώς εξοπλισμένη για να αντιμετωπίζει κρίσεις στα εξωτερικά σύνορα, ειδικότερα σε περίπτωση που προκύψει αιφνίδια μαζική άφιξη παράτυπων μεταναστών.</w:t>
      </w:r>
      <w:r>
        <w:rPr>
          <w:rFonts w:ascii="Times New Roman" w:hAnsi="Times New Roman"/>
          <w:noProof/>
          <w:sz w:val="24"/>
        </w:rPr>
        <w:t xml:space="preserve"> Η ετοιμότητα για μια τέτοια κατάσταση αποτελεί το κριτήριο αναφοράς για να θεωρηθούν αρκετά ισχυρά τα εξωτερικά σύνορα, ώστε να αποκατασταθεί η εμπιστοσύνη των πολιτών της ΕΕ στον χώρο Σένγκεν. Οι διαπραγματεύσεις σχετικά με την πρόταση αυτή βρίσκονται επ</w:t>
      </w:r>
      <w:r>
        <w:rPr>
          <w:rFonts w:ascii="Times New Roman" w:hAnsi="Times New Roman"/>
          <w:noProof/>
          <w:sz w:val="24"/>
        </w:rPr>
        <w:t>ί του παρόντος στο στάδιο του τριμερούς διαλόγου, στοιχείο που καταδεικνύει τη δέσμευση όλων των θεσμικών οργάνων για έγκριση της πρότασης πριν από τις εκλογές του 2019 για το Ευρωπαϊκό Κοινοβούλιο.</w:t>
      </w:r>
    </w:p>
    <w:p w:rsidR="00835C9C" w:rsidRDefault="00835C9C">
      <w:pPr>
        <w:pStyle w:val="ListParagraph"/>
        <w:ind w:left="0"/>
        <w:jc w:val="both"/>
        <w:rPr>
          <w:rFonts w:ascii="Times New Roman" w:hAnsi="Times New Roman"/>
          <w:noProof/>
          <w:sz w:val="24"/>
          <w:szCs w:val="24"/>
        </w:rPr>
      </w:pPr>
    </w:p>
    <w:p w:rsidR="00835C9C" w:rsidRDefault="003F26D7">
      <w:pPr>
        <w:spacing w:after="120"/>
        <w:jc w:val="both"/>
        <w:rPr>
          <w:rFonts w:ascii="Times New Roman" w:hAnsi="Times New Roman"/>
          <w:i/>
          <w:noProof/>
          <w:sz w:val="24"/>
          <w:szCs w:val="24"/>
        </w:rPr>
      </w:pPr>
      <w:r>
        <w:rPr>
          <w:rFonts w:ascii="Times New Roman" w:hAnsi="Times New Roman"/>
          <w:i/>
          <w:noProof/>
          <w:sz w:val="24"/>
        </w:rPr>
        <w:t>Συνεργασία με τρίτες χώρες εταίρους</w:t>
      </w:r>
    </w:p>
    <w:p w:rsidR="00835C9C" w:rsidRDefault="003F26D7">
      <w:pPr>
        <w:jc w:val="both"/>
        <w:rPr>
          <w:rFonts w:ascii="Times New Roman" w:hAnsi="Times New Roman"/>
          <w:noProof/>
          <w:sz w:val="24"/>
          <w:szCs w:val="24"/>
        </w:rPr>
      </w:pPr>
      <w:r>
        <w:rPr>
          <w:rFonts w:ascii="Times New Roman" w:hAnsi="Times New Roman"/>
          <w:noProof/>
          <w:sz w:val="24"/>
        </w:rPr>
        <w:t>Η παροχή στήριξης σε χώρες εκτός ΕΕ και η συνεργασία μαζί τους είναι ουσιαστικής σημασίας για την προστασία των εξωτερικών συνόρων της ΕΕ. Ένα πρώτο βήμα είναι να προβλεφθεί η δυνατότητα διαμόρφωσης στενών σχέσεων συνεργασίας για την ανάπτυξη ομάδων σε κοι</w:t>
      </w:r>
      <w:r>
        <w:rPr>
          <w:rFonts w:ascii="Times New Roman" w:hAnsi="Times New Roman"/>
          <w:noProof/>
          <w:sz w:val="24"/>
        </w:rPr>
        <w:t xml:space="preserve">νές επιχειρήσεις και από τις δύο πλευρές των κοινών συνόρων. Η Επιτροπή διαπραγματεύτηκε συμφωνίες περί καθεστώτος με πέντε χώρες των Δυτικών Βαλκανίων για τον σκοπό αυτόν. Τέτοιου είδους συμφωνίες έχουν υπογραφεί με την Αλβανία, και </w:t>
      </w:r>
      <w:r>
        <w:rPr>
          <w:rFonts w:ascii="Times New Roman" w:hAnsi="Times New Roman"/>
          <w:noProof/>
          <w:sz w:val="24"/>
          <w:szCs w:val="24"/>
        </w:rPr>
        <w:t xml:space="preserve">έχουν μονογραφηθεί με </w:t>
      </w:r>
      <w:r>
        <w:rPr>
          <w:rFonts w:ascii="Times New Roman" w:hAnsi="Times New Roman"/>
          <w:noProof/>
          <w:sz w:val="24"/>
          <w:szCs w:val="24"/>
        </w:rPr>
        <w:t>τη Βόρεια Μακεδονία (Ιούλιος 2018), τη Σερβία (Σεπτέμβριος 2018), τη</w:t>
      </w:r>
      <w:r>
        <w:rPr>
          <w:rFonts w:ascii="Times New Roman" w:hAnsi="Times New Roman"/>
          <w:noProof/>
          <w:sz w:val="24"/>
        </w:rPr>
        <w:t xml:space="preserve"> Βοσνία–Ερζεγοβίνη (Ιανουάριος 2019) και το Μαυροβούνιο (Φεβρουάριος 2019).</w:t>
      </w:r>
    </w:p>
    <w:p w:rsidR="00835C9C" w:rsidRDefault="00835C9C">
      <w:pPr>
        <w:pStyle w:val="ListParagraph"/>
        <w:ind w:left="644"/>
        <w:jc w:val="both"/>
        <w:rPr>
          <w:rFonts w:ascii="Times New Roman" w:hAnsi="Times New Roman"/>
          <w:noProof/>
          <w:color w:val="000000"/>
          <w:sz w:val="24"/>
          <w:szCs w:val="24"/>
        </w:rPr>
      </w:pPr>
    </w:p>
    <w:p w:rsidR="00835C9C" w:rsidRDefault="003F26D7">
      <w:pPr>
        <w:jc w:val="both"/>
        <w:rPr>
          <w:rFonts w:ascii="Times New Roman" w:hAnsi="Times New Roman"/>
          <w:noProof/>
          <w:color w:val="000000"/>
          <w:sz w:val="24"/>
          <w:szCs w:val="24"/>
        </w:rPr>
      </w:pPr>
      <w:r>
        <w:rPr>
          <w:rFonts w:ascii="Times New Roman" w:hAnsi="Times New Roman"/>
          <w:noProof/>
          <w:color w:val="000000"/>
          <w:sz w:val="24"/>
        </w:rPr>
        <w:t>Η εμπειρογνωσία της ΕΕ μπορεί επίσης να κάνει τη διαφορά μέσω της ενεργής επιχειρησιακής συνεργασίας. Η ΕΕ βοήθ</w:t>
      </w:r>
      <w:r>
        <w:rPr>
          <w:rFonts w:ascii="Times New Roman" w:hAnsi="Times New Roman"/>
          <w:noProof/>
          <w:color w:val="000000"/>
          <w:sz w:val="24"/>
        </w:rPr>
        <w:t>ησε τη Λιβυκή Ακτοφυλακή να αυξήσει σημαντικά την ικανότητά της να διασώζει ανθρώπους στη θάλασσα και να εμποδίζει τους διακινητές να στέλνουν ανθρώπους στη θάλασσα σε μη αξιόπλοα σκάφη. Η κατάρτιση, μεταξύ άλλων σχετικά με τα ανθρώπινα δικαιώματα και το δ</w:t>
      </w:r>
      <w:r>
        <w:rPr>
          <w:rFonts w:ascii="Times New Roman" w:hAnsi="Times New Roman"/>
          <w:noProof/>
          <w:color w:val="000000"/>
          <w:sz w:val="24"/>
        </w:rPr>
        <w:t xml:space="preserve">ιεθνές δίκαιο της θάλασσας, πρέπει να εντατικοποιηθεί. Δεδομένου ότι η Λιβύη έχει </w:t>
      </w:r>
      <w:r>
        <w:rPr>
          <w:rFonts w:ascii="Times New Roman" w:hAnsi="Times New Roman"/>
          <w:noProof/>
          <w:sz w:val="24"/>
        </w:rPr>
        <w:t>κοινοποιήσει επισήμως στον Διεθνή Ναυτιλιακό Οργανισμό την περιοχή της για επιχειρήσεις έρευνας και διάσωσης, η ικανότητά της πρέπει τώρα να υποστηριχθεί μέσω ενός πλήρως ανε</w:t>
      </w:r>
      <w:r>
        <w:rPr>
          <w:rFonts w:ascii="Times New Roman" w:hAnsi="Times New Roman"/>
          <w:noProof/>
          <w:sz w:val="24"/>
        </w:rPr>
        <w:t xml:space="preserve">πτυγμένου συντονιστικού κέντρου διάσωσης στη θάλασσα. </w:t>
      </w:r>
      <w:r>
        <w:rPr>
          <w:rFonts w:ascii="Times New Roman" w:hAnsi="Times New Roman"/>
          <w:noProof/>
          <w:color w:val="000000"/>
          <w:sz w:val="24"/>
        </w:rPr>
        <w:t>Η στήριξη της ΕΕ έχει επίσης ως στόχο τη διάσωση ζωών και σε χερσαίες διαδρομές: Η στήριξη της ΕΕ και των κρατών μελών στον Νίγηρα είχε ως αποτέλεσμα τη σημαντική μείωση των μεταναστευτικών ροών και η σ</w:t>
      </w:r>
      <w:r>
        <w:rPr>
          <w:rFonts w:ascii="Times New Roman" w:hAnsi="Times New Roman"/>
          <w:noProof/>
          <w:color w:val="000000"/>
          <w:sz w:val="24"/>
        </w:rPr>
        <w:t xml:space="preserve">υνεργασία με τον Διεθνή Οργανισμό Μετανάστευσης οδήγησε στην έρευνα και διάσωση περισσότερων από 13 000 μεταναστών στην έρημο του Νίγηρα. </w:t>
      </w:r>
    </w:p>
    <w:p w:rsidR="00835C9C" w:rsidRDefault="00835C9C">
      <w:pPr>
        <w:contextualSpacing/>
        <w:jc w:val="both"/>
        <w:rPr>
          <w:rFonts w:ascii="Times New Roman" w:eastAsia="Calibri" w:hAnsi="Times New Roman"/>
          <w:noProof/>
          <w:sz w:val="24"/>
          <w:szCs w:val="24"/>
        </w:rPr>
      </w:pPr>
    </w:p>
    <w:p w:rsidR="00835C9C" w:rsidRDefault="003F26D7">
      <w:pPr>
        <w:contextualSpacing/>
        <w:jc w:val="both"/>
        <w:rPr>
          <w:rFonts w:ascii="Times New Roman" w:hAnsi="Times New Roman"/>
          <w:noProof/>
          <w:sz w:val="24"/>
          <w:szCs w:val="24"/>
        </w:rPr>
      </w:pPr>
      <w:r>
        <w:rPr>
          <w:rFonts w:ascii="Times New Roman" w:hAnsi="Times New Roman"/>
          <w:noProof/>
          <w:sz w:val="24"/>
        </w:rPr>
        <w:t>Η ΕΕ και τα κράτη μέλη παρέχουν σημαντική στήριξη και ανάπτυξη ικανοτήτων για να συνδράμουν τους εταίρους στη διαχεί</w:t>
      </w:r>
      <w:r>
        <w:rPr>
          <w:rFonts w:ascii="Times New Roman" w:hAnsi="Times New Roman"/>
          <w:noProof/>
          <w:sz w:val="24"/>
        </w:rPr>
        <w:t>ριση των συνόρων τους. Τα περιφερειακά προγράμματα αποτελούν ιδιαίτερο σημείο εστίασης: το πρόγραμμα καλύτερης διαχείρισης της μετανάστευσης στο Κέρας της Αφρικής έχει συμβάλει στην πραγματοποίηση κοινών διασυνοριακών περιπολιών και κοινών διελεύσεων των σ</w:t>
      </w:r>
      <w:r>
        <w:rPr>
          <w:rFonts w:ascii="Times New Roman" w:hAnsi="Times New Roman"/>
          <w:noProof/>
          <w:sz w:val="24"/>
        </w:rPr>
        <w:t xml:space="preserve">υνόρων μεταξύ εταίρων όπως η Αιθιοπία και το Νότιο Σουδάν, καθώς και στην ανταλλαγή βέλτιστων πρακτικών. </w:t>
      </w:r>
    </w:p>
    <w:p w:rsidR="00835C9C" w:rsidRDefault="003F26D7">
      <w:pPr>
        <w:contextualSpacing/>
        <w:jc w:val="both"/>
        <w:rPr>
          <w:rFonts w:ascii="Times New Roman" w:hAnsi="Times New Roman"/>
          <w:noProof/>
          <w:sz w:val="24"/>
          <w:szCs w:val="24"/>
        </w:rPr>
      </w:pPr>
      <w:r>
        <w:rPr>
          <w:rFonts w:ascii="Times New Roman" w:hAnsi="Times New Roman"/>
          <w:noProof/>
          <w:sz w:val="24"/>
        </w:rPr>
        <w:t xml:space="preserve">Το έργο αυτό επιτελείται επίσης σε στενή συνεργασία με το έργο που πραγματοποιείται στο πλαίσιο της Κοινής Εξωτερικής Πολιτικής και Πολιτικής </w:t>
      </w:r>
      <w:r>
        <w:rPr>
          <w:rFonts w:ascii="Times New Roman" w:hAnsi="Times New Roman"/>
          <w:noProof/>
          <w:sz w:val="24"/>
        </w:rPr>
        <w:t>Ασφάλειας και μέσω των αποστολών της Κοινής Πολιτικής Ασφάλειας και Άμυνας. Η αποστολή συνοριακής συνδρομής της ΕΕ υποστηρίζει τη Λιβύη στην ανάπτυξη ευρύτερου πλαισίου διαχείρισης των συνόρων και παρέχει στρατηγικές συμβουλές σε κομβικής σημασίας υπουργεί</w:t>
      </w:r>
      <w:r>
        <w:rPr>
          <w:rFonts w:ascii="Times New Roman" w:hAnsi="Times New Roman"/>
          <w:noProof/>
          <w:sz w:val="24"/>
        </w:rPr>
        <w:t>α. Παράλληλα με την εκπαίδευση της Λιβυκής Ακτοφυλακής, η εντολή της επιχείρησης «Σοφία» συνδυάζει την εξάρθρωση δικτύων λαθραίας διακίνησης μεταναστών και λαθρεμπορίου όπλων με δραστηριότητες επιτήρησης (για παράδειγμα, όσον αφορά το λαθρεμπόριο πετρελαίο</w:t>
      </w:r>
      <w:r>
        <w:rPr>
          <w:rFonts w:ascii="Times New Roman" w:hAnsi="Times New Roman"/>
          <w:noProof/>
          <w:sz w:val="24"/>
        </w:rPr>
        <w:t>υ). Το στοιχείο αυτό έδωσε στην ΕΕ τη δυνατότητα να συμβάλει σημαντικά στη βελτίωση της συνολικής ασφάλειας στη θάλασσα και στην επαναφορά της σταθερότητας στην Κεντρική Μεσόγειο. Τον Δεκέμβριο του 2018 η εντολή της επιχείρησης «Σοφία» παρατάθηκε για τρεις</w:t>
      </w:r>
      <w:r>
        <w:rPr>
          <w:rFonts w:ascii="Times New Roman" w:hAnsi="Times New Roman"/>
          <w:noProof/>
          <w:sz w:val="24"/>
        </w:rPr>
        <w:t xml:space="preserve"> μήνες· ωστόσο, ελλείψει λύσης όσον αφορά την αποβίβαση, η συνέχισή της δεν έχει διευθετηθεί.</w:t>
      </w:r>
    </w:p>
    <w:p w:rsidR="00835C9C" w:rsidRDefault="00835C9C">
      <w:pPr>
        <w:jc w:val="both"/>
        <w:rPr>
          <w:noProof/>
        </w:rPr>
      </w:pPr>
    </w:p>
    <w:p w:rsidR="00835C9C" w:rsidRDefault="00835C9C">
      <w:pPr>
        <w:jc w:val="both"/>
        <w:rPr>
          <w:noProof/>
        </w:rPr>
      </w:pPr>
    </w:p>
    <w:tbl>
      <w:tblPr>
        <w:tblStyle w:val="TableGrid"/>
        <w:tblW w:w="0" w:type="auto"/>
        <w:tblLook w:val="04A0" w:firstRow="1" w:lastRow="0" w:firstColumn="1" w:lastColumn="0" w:noHBand="0" w:noVBand="1"/>
      </w:tblPr>
      <w:tblGrid>
        <w:gridCol w:w="9286"/>
      </w:tblGrid>
      <w:tr w:rsidR="00835C9C">
        <w:tc>
          <w:tcPr>
            <w:tcW w:w="9286" w:type="dxa"/>
            <w:shd w:val="clear" w:color="auto" w:fill="1F497D" w:themeFill="text2"/>
          </w:tcPr>
          <w:p w:rsidR="00835C9C" w:rsidRDefault="003F26D7">
            <w:pPr>
              <w:shd w:val="clear" w:color="auto" w:fill="1F497D" w:themeFill="text2"/>
              <w:spacing w:after="120"/>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Βασικές επόμενες ενέργειες</w:t>
            </w:r>
          </w:p>
        </w:tc>
      </w:tr>
      <w:tr w:rsidR="00835C9C">
        <w:tc>
          <w:tcPr>
            <w:tcW w:w="9286" w:type="dxa"/>
            <w:shd w:val="clear" w:color="auto" w:fill="C6D9F1" w:themeFill="text2" w:themeFillTint="33"/>
          </w:tcPr>
          <w:p w:rsidR="00835C9C" w:rsidRDefault="003F26D7">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 xml:space="preserve">Το Ευρωπαϊκό Κοινοβούλιο και το Συμβούλιο θα πρέπει να εγκρίνουν την </w:t>
            </w:r>
            <w:r>
              <w:rPr>
                <w:rFonts w:ascii="Times New Roman" w:hAnsi="Times New Roman"/>
                <w:b/>
                <w:i/>
                <w:noProof/>
                <w:sz w:val="24"/>
              </w:rPr>
              <w:t>αναθεωρημένη πρόταση κανονισμού για την Ευρωπαϊκή Συνοριοφυλακή</w:t>
            </w:r>
            <w:r>
              <w:rPr>
                <w:rFonts w:ascii="Times New Roman" w:hAnsi="Times New Roman"/>
                <w:b/>
                <w:i/>
                <w:noProof/>
                <w:sz w:val="24"/>
              </w:rPr>
              <w:t xml:space="preserve"> και Ακτοφυλακή</w:t>
            </w:r>
            <w:r>
              <w:rPr>
                <w:rFonts w:ascii="Times New Roman" w:hAnsi="Times New Roman"/>
                <w:noProof/>
                <w:sz w:val="24"/>
              </w:rPr>
              <w:t xml:space="preserve"> πριν από τις εκλογές για το Ευρωπαϊκό Κοινοβούλιο</w:t>
            </w:r>
            <w:r>
              <w:rPr>
                <w:rFonts w:ascii="Times New Roman" w:hAnsi="Times New Roman"/>
                <w:b/>
                <w:i/>
                <w:noProof/>
                <w:sz w:val="24"/>
              </w:rPr>
              <w:t>.</w:t>
            </w:r>
          </w:p>
          <w:p w:rsidR="00835C9C" w:rsidRDefault="003F26D7">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Τα κράτη μέλη θα πρέπει να μεριμνήσουν ώστε ο Ευρωπαϊκός Οργανισμός Συνοριοφυλακής και Ακτοφυλακής να διαθέτει τους απαιτούμενους πόρους για να προβαίνει τακτικά σε αξιολόγηση της κατάσταση</w:t>
            </w:r>
            <w:r>
              <w:rPr>
                <w:rFonts w:ascii="Times New Roman" w:hAnsi="Times New Roman"/>
                <w:noProof/>
                <w:sz w:val="24"/>
              </w:rPr>
              <w:t xml:space="preserve">ς επιτόπου και να διασφαλίζει τη διεξαγωγή </w:t>
            </w:r>
            <w:r>
              <w:rPr>
                <w:rFonts w:ascii="Times New Roman" w:hAnsi="Times New Roman"/>
                <w:b/>
                <w:i/>
                <w:noProof/>
                <w:sz w:val="24"/>
              </w:rPr>
              <w:t>βασικών επιχειρήσεων στα σύνορα</w:t>
            </w:r>
            <w:r>
              <w:rPr>
                <w:rFonts w:ascii="Times New Roman" w:hAnsi="Times New Roman"/>
                <w:noProof/>
                <w:sz w:val="24"/>
              </w:rPr>
              <w:t>. Οι εργασίες των οργανισμών της ΕΕ στη διαδρομή της Δυτικής Μεσογείου θα πρέπει να εντατικοποιηθούν.</w:t>
            </w:r>
          </w:p>
          <w:p w:rsidR="00835C9C" w:rsidRDefault="003F26D7">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Η Επιτροπή και οι οργανισμοί της ΕΕ θα πρέπει να διασφαλίσουν την ταχεία ανάπτυξ</w:t>
            </w:r>
            <w:r>
              <w:rPr>
                <w:rFonts w:ascii="Times New Roman" w:hAnsi="Times New Roman"/>
                <w:noProof/>
                <w:sz w:val="24"/>
              </w:rPr>
              <w:t xml:space="preserve">η και υλοποίηση της </w:t>
            </w:r>
            <w:r>
              <w:rPr>
                <w:rFonts w:ascii="Times New Roman" w:hAnsi="Times New Roman"/>
                <w:b/>
                <w:i/>
                <w:noProof/>
                <w:sz w:val="24"/>
              </w:rPr>
              <w:t>διαλειτουργικότητας</w:t>
            </w:r>
            <w:r>
              <w:rPr>
                <w:rFonts w:ascii="Times New Roman" w:hAnsi="Times New Roman"/>
                <w:noProof/>
                <w:sz w:val="24"/>
              </w:rPr>
              <w:t xml:space="preserve"> των συστημάτων για τα σύνορα και την ασφάλεια, με τα πρώτα στοιχεία να τίθενται σε λειτουργία ήδη από το 2020.</w:t>
            </w:r>
          </w:p>
          <w:p w:rsidR="00835C9C" w:rsidRDefault="003F26D7">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 xml:space="preserve">Το Συμβούλιο, αφού λάβει την έγκριση του Ευρωπαϊκού Κοινοβουλίου, θα πρέπει να συνάψει σύντομα τις </w:t>
            </w:r>
            <w:r>
              <w:rPr>
                <w:rFonts w:ascii="Times New Roman" w:hAnsi="Times New Roman"/>
                <w:b/>
                <w:noProof/>
                <w:sz w:val="24"/>
              </w:rPr>
              <w:t>συμφων</w:t>
            </w:r>
            <w:r>
              <w:rPr>
                <w:rFonts w:ascii="Times New Roman" w:hAnsi="Times New Roman"/>
                <w:b/>
                <w:noProof/>
                <w:sz w:val="24"/>
              </w:rPr>
              <w:t>ίες περί καθεστώτος που διαπραγματεύτηκε με τις χώρες των Δυτικών Βαλκανίων</w:t>
            </w:r>
            <w:r>
              <w:rPr>
                <w:rFonts w:ascii="Times New Roman" w:hAnsi="Times New Roman"/>
                <w:noProof/>
                <w:sz w:val="24"/>
              </w:rPr>
              <w:t xml:space="preserve"> και να διασφαλίσει την άμεση εφαρμογή τους.</w:t>
            </w:r>
          </w:p>
        </w:tc>
      </w:tr>
    </w:tbl>
    <w:p w:rsidR="00835C9C" w:rsidRDefault="00835C9C">
      <w:pPr>
        <w:jc w:val="both"/>
        <w:rPr>
          <w:noProof/>
        </w:rPr>
      </w:pPr>
    </w:p>
    <w:p w:rsidR="00835C9C" w:rsidRDefault="00835C9C">
      <w:pPr>
        <w:jc w:val="both"/>
        <w:rPr>
          <w:rFonts w:ascii="Times New Roman" w:hAnsi="Times New Roman"/>
          <w:noProof/>
          <w:color w:val="000000"/>
          <w:sz w:val="24"/>
          <w:szCs w:val="24"/>
        </w:rPr>
      </w:pPr>
    </w:p>
    <w:p w:rsidR="00835C9C" w:rsidRDefault="003F26D7">
      <w:pPr>
        <w:pStyle w:val="ListParagraph"/>
        <w:numPr>
          <w:ilvl w:val="0"/>
          <w:numId w:val="3"/>
        </w:numPr>
        <w:jc w:val="both"/>
        <w:rPr>
          <w:rFonts w:ascii="Times New Roman" w:hAnsi="Times New Roman"/>
          <w:b/>
          <w:i/>
          <w:noProof/>
          <w:sz w:val="24"/>
          <w:szCs w:val="24"/>
        </w:rPr>
      </w:pPr>
      <w:r>
        <w:rPr>
          <w:rFonts w:ascii="Times New Roman" w:hAnsi="Times New Roman"/>
          <w:b/>
          <w:i/>
          <w:noProof/>
          <w:sz w:val="24"/>
        </w:rPr>
        <w:t xml:space="preserve">Μια ΕΕ που παρέχει προστασία και άσυλο </w:t>
      </w:r>
    </w:p>
    <w:p w:rsidR="00835C9C" w:rsidRDefault="00835C9C">
      <w:pPr>
        <w:pStyle w:val="ListParagraph"/>
        <w:ind w:left="360"/>
        <w:jc w:val="both"/>
        <w:rPr>
          <w:rFonts w:ascii="Times New Roman" w:hAnsi="Times New Roman"/>
          <w:b/>
          <w:noProof/>
          <w:color w:val="000000"/>
          <w:sz w:val="24"/>
          <w:szCs w:val="24"/>
          <w:u w:val="single"/>
        </w:rPr>
      </w:pPr>
    </w:p>
    <w:p w:rsidR="00835C9C" w:rsidRDefault="003F26D7">
      <w:pPr>
        <w:spacing w:after="120"/>
        <w:jc w:val="both"/>
        <w:rPr>
          <w:rFonts w:ascii="Times New Roman" w:hAnsi="Times New Roman"/>
          <w:i/>
          <w:noProof/>
          <w:color w:val="000000"/>
          <w:sz w:val="24"/>
          <w:szCs w:val="24"/>
        </w:rPr>
      </w:pPr>
      <w:r>
        <w:rPr>
          <w:rFonts w:ascii="Times New Roman" w:hAnsi="Times New Roman"/>
          <w:i/>
          <w:noProof/>
          <w:color w:val="000000"/>
          <w:sz w:val="24"/>
        </w:rPr>
        <w:t>Εκσυγχρονισμός του κοινού ευρωπαϊκού συστήματος ασύλου</w:t>
      </w:r>
    </w:p>
    <w:p w:rsidR="00835C9C" w:rsidRDefault="003F26D7">
      <w:pPr>
        <w:jc w:val="both"/>
        <w:rPr>
          <w:rFonts w:ascii="Times New Roman" w:hAnsi="Times New Roman"/>
          <w:noProof/>
          <w:color w:val="000000"/>
          <w:sz w:val="24"/>
          <w:szCs w:val="24"/>
        </w:rPr>
      </w:pPr>
      <w:r>
        <w:rPr>
          <w:rFonts w:ascii="Times New Roman" w:hAnsi="Times New Roman"/>
          <w:noProof/>
          <w:color w:val="000000"/>
          <w:sz w:val="24"/>
        </w:rPr>
        <w:t xml:space="preserve">Η Επιτροπή είναι πεπεισμένη ότι η ΕΕ </w:t>
      </w:r>
      <w:r>
        <w:rPr>
          <w:rFonts w:ascii="Times New Roman" w:hAnsi="Times New Roman"/>
          <w:noProof/>
          <w:color w:val="000000"/>
          <w:sz w:val="24"/>
        </w:rPr>
        <w:t>μπορεί να μεταρρυθμίσει το σύστημα ασύλου της, προκειμένου να είναι σε θέση να παρέχει καλύτερη προστασία στους μετανάστες που την έχουν ανάγκη και να τους εξασφαλίζει αξιοπρεπείς συνθήκες, μεριμνώντας παράλληλα για την επιστροφή όσων δεν έχουν δικαίωμα να</w:t>
      </w:r>
      <w:r>
        <w:rPr>
          <w:rFonts w:ascii="Times New Roman" w:hAnsi="Times New Roman"/>
          <w:noProof/>
          <w:color w:val="000000"/>
          <w:sz w:val="24"/>
        </w:rPr>
        <w:t xml:space="preserve"> παραμείνουν στην Ευρώπη. Η ΕΕ πρέπει να δείξει στους πολίτες της ότι είναι ικανή να εφαρμόσει ένα σύστημα ασύλου το οποίο είναι δίκαιο και κατάλληλο για τον σκοπό για τον οποίο έχει θεσπιστεί, καθώς και ότι θα μπορούσε, σε συνδυασμό με ισχυρότερα μέτρα γι</w:t>
      </w:r>
      <w:r>
        <w:rPr>
          <w:rFonts w:ascii="Times New Roman" w:hAnsi="Times New Roman"/>
          <w:noProof/>
          <w:color w:val="000000"/>
          <w:sz w:val="24"/>
        </w:rPr>
        <w:t>α τα σύνορα, να διαχειριστεί κάθε μελλοντική αιφνίδια αύξηση των μεταναστευτικών πιέσεων. Το γεγονός ότι οι παράτυπες αφίξεις έχουν μειωθεί στα προ κρίσης επίπεδα δεν μπορεί να συγκαλύψει τις υφιστάμενες ελλείψεις και την ανάγκη για συνολική μεταρρύθμιση τ</w:t>
      </w:r>
      <w:r>
        <w:rPr>
          <w:rFonts w:ascii="Times New Roman" w:hAnsi="Times New Roman"/>
          <w:noProof/>
          <w:color w:val="000000"/>
          <w:sz w:val="24"/>
        </w:rPr>
        <w:t>ου συστήματος ασύλου.</w:t>
      </w:r>
    </w:p>
    <w:p w:rsidR="00835C9C" w:rsidRDefault="00835C9C">
      <w:pPr>
        <w:jc w:val="both"/>
        <w:rPr>
          <w:rFonts w:ascii="Times New Roman" w:hAnsi="Times New Roman"/>
          <w:noProof/>
          <w:color w:val="000000"/>
          <w:sz w:val="24"/>
          <w:szCs w:val="24"/>
        </w:rPr>
      </w:pPr>
    </w:p>
    <w:p w:rsidR="00835C9C" w:rsidRDefault="003F26D7">
      <w:pPr>
        <w:jc w:val="both"/>
        <w:rPr>
          <w:rFonts w:ascii="Times New Roman" w:hAnsi="Times New Roman"/>
          <w:noProof/>
          <w:color w:val="000000"/>
          <w:sz w:val="24"/>
          <w:szCs w:val="24"/>
        </w:rPr>
      </w:pPr>
      <w:r>
        <w:rPr>
          <w:rFonts w:ascii="Times New Roman" w:hAnsi="Times New Roman"/>
          <w:noProof/>
          <w:color w:val="000000"/>
          <w:sz w:val="24"/>
        </w:rPr>
        <w:t>Αποτελεί θεμελιώδη ανάγκη η υιοθέτηση μιας προσέγγισης σε επίπεδο ΕΕ, η οποία πρέπει να βασίζεται σε ισχυρές εγγυήσεις ότι κάθε κράτος μέλος θα εξετάζει τις αιτήσεις ασύλου για τις οποίες είναι υπεύθυνο, καθώς και σε έναν δομημένο κα</w:t>
      </w:r>
      <w:r>
        <w:rPr>
          <w:rFonts w:ascii="Times New Roman" w:hAnsi="Times New Roman"/>
          <w:noProof/>
          <w:color w:val="000000"/>
          <w:sz w:val="24"/>
        </w:rPr>
        <w:t>ι προβλέψιμο μηχανισμό αλληλεγγύης που να διασφαλίζει ότι κανένα κράτος μέλος δεν επιβαρύνεται δυσανάλογα. Το σύστημα ασύλου της ΕΕ μπορεί να είναι πλήρως αποτελεσματικό και ικανό να εμπνεύσει εμπιστοσύνη μόνον εάν αυτή η αλληλεγγύη είναι συστηματική και ό</w:t>
      </w:r>
      <w:r>
        <w:rPr>
          <w:rFonts w:ascii="Times New Roman" w:hAnsi="Times New Roman"/>
          <w:noProof/>
          <w:color w:val="000000"/>
          <w:sz w:val="24"/>
        </w:rPr>
        <w:t>χι ad hoc. Η προϋπόθεση αυτή συμβαδίζει με σαφείς, απλούς και κοινούς κανόνες για τον τρόπο χειρισμού των αιτήσεων ασύλου, με ενισχυμένα βιομετρικά στοιχεία για την υποστήριξη της εφαρμογής των κανόνων και με την παροχή επαρκούς επιχειρησιακής και χρηματοδ</w:t>
      </w:r>
      <w:r>
        <w:rPr>
          <w:rFonts w:ascii="Times New Roman" w:hAnsi="Times New Roman"/>
          <w:noProof/>
          <w:color w:val="000000"/>
          <w:sz w:val="24"/>
        </w:rPr>
        <w:t xml:space="preserve">οτικής στήριξης στα κράτη μέλη. </w:t>
      </w:r>
    </w:p>
    <w:p w:rsidR="00835C9C" w:rsidRDefault="00835C9C">
      <w:pPr>
        <w:jc w:val="both"/>
        <w:rPr>
          <w:rFonts w:ascii="Times New Roman" w:hAnsi="Times New Roman"/>
          <w:noProof/>
          <w:color w:val="000000"/>
          <w:sz w:val="24"/>
          <w:szCs w:val="24"/>
        </w:rPr>
      </w:pPr>
    </w:p>
    <w:p w:rsidR="00835C9C" w:rsidRDefault="003F26D7">
      <w:pPr>
        <w:jc w:val="both"/>
        <w:rPr>
          <w:rFonts w:ascii="Times New Roman" w:hAnsi="Times New Roman"/>
          <w:noProof/>
          <w:color w:val="000000"/>
          <w:sz w:val="24"/>
          <w:szCs w:val="24"/>
        </w:rPr>
      </w:pPr>
      <w:r>
        <w:rPr>
          <w:rFonts w:ascii="Times New Roman" w:hAnsi="Times New Roman"/>
          <w:noProof/>
          <w:color w:val="000000"/>
          <w:sz w:val="24"/>
        </w:rPr>
        <w:t>Όσο η αντιμετώπιση των αιτούντων άσυλο ποικίλλει σε σημαντικό βαθμό μεταξύ των κρατών μελών και η ευθύνη των κρατών μελών για τον χειρισμό των αιτήσεων ασύλου μπορεί να μετατεθεί εύκολα από ένα κράτος μέλος σε άλλο, το σύσ</w:t>
      </w:r>
      <w:r>
        <w:rPr>
          <w:rFonts w:ascii="Times New Roman" w:hAnsi="Times New Roman"/>
          <w:noProof/>
          <w:color w:val="000000"/>
          <w:sz w:val="24"/>
        </w:rPr>
        <w:t xml:space="preserve">τημα ασύλου της ΕΕ θα παραμένει ευάλωτο σε περιστατικά κατάχρησης, στην υποβολή πολλαπλών αιτήσεων ασύλου και στις δευτερογενείς μετακινήσεις. Είναι αναγκαία η θέσπιση αυστηρότερων κανόνων και εναρμονισμένων κριτηρίων για τη χορήγηση προστασίας, καθώς και </w:t>
      </w:r>
      <w:r>
        <w:rPr>
          <w:rFonts w:ascii="Times New Roman" w:hAnsi="Times New Roman"/>
          <w:noProof/>
          <w:color w:val="000000"/>
          <w:sz w:val="24"/>
        </w:rPr>
        <w:t>η εξασφάλιση δίκαιων και ίσων όρων για τους αιτούντες άσυλο και τους ωφελούμενους σε ολόκληρη την ΕΕ. Το σύστημα ασύλου μπορεί να είναι αξιόπιστο μόνον εάν εξασφαλίζεται η ταχεία επιστροφή των αιτούντων άσυλο των οποίων οι αιτήσεις ασύλου απορρίπτονται και</w:t>
      </w:r>
      <w:r>
        <w:rPr>
          <w:rFonts w:ascii="Times New Roman" w:hAnsi="Times New Roman"/>
          <w:noProof/>
          <w:color w:val="000000"/>
          <w:sz w:val="24"/>
        </w:rPr>
        <w:t xml:space="preserve"> δεν έχουν πλέον δικαίωμα παραμονής στην ΕΕ. Για τον λόγο αυτόν, πρέπει να δημιουργηθεί αδιάλειπτη σύνδεση μεταξύ του συστήματος ασύλου και ενός αποτελεσματικού συστήματος επιστροφής, σε πλαίσιο πλήρους σεβασμού των θεμελιωδών δικαιωμάτων.</w:t>
      </w:r>
    </w:p>
    <w:p w:rsidR="00835C9C" w:rsidRDefault="00835C9C">
      <w:pPr>
        <w:jc w:val="both"/>
        <w:rPr>
          <w:rFonts w:ascii="Times New Roman" w:hAnsi="Times New Roman"/>
          <w:noProof/>
          <w:color w:val="000000"/>
          <w:sz w:val="24"/>
          <w:szCs w:val="24"/>
        </w:rPr>
      </w:pPr>
    </w:p>
    <w:p w:rsidR="00835C9C" w:rsidRDefault="003F26D7">
      <w:pPr>
        <w:jc w:val="both"/>
        <w:rPr>
          <w:noProof/>
          <w:color w:val="000000"/>
        </w:rPr>
      </w:pPr>
      <w:r>
        <w:rPr>
          <w:rFonts w:ascii="Times New Roman" w:hAnsi="Times New Roman"/>
          <w:noProof/>
          <w:color w:val="000000"/>
          <w:sz w:val="24"/>
        </w:rPr>
        <w:t>Η Επιτροπή έχει</w:t>
      </w:r>
      <w:r>
        <w:rPr>
          <w:rFonts w:ascii="Times New Roman" w:hAnsi="Times New Roman"/>
          <w:noProof/>
          <w:color w:val="000000"/>
          <w:sz w:val="24"/>
        </w:rPr>
        <w:t xml:space="preserve"> υποβάλει όλες τις απαραίτητες προτάσεις προκειμένου να επιτευχθεί ο στόχος αυτός και υποστηρίζει σθεναρά μια σταδιακή προσέγγιση για την πρόοδο κάθε πρότασης. Σήμερα, είναι εφικτό να επιτευχθούν ισορροπημένες πολιτικές συμφωνίες σχετικά με πέντε προτάσεις</w:t>
      </w:r>
      <w:r>
        <w:rPr>
          <w:rFonts w:ascii="Times New Roman" w:hAnsi="Times New Roman"/>
          <w:noProof/>
          <w:color w:val="000000"/>
          <w:sz w:val="24"/>
        </w:rPr>
        <w:t xml:space="preserve"> για τη μεταρρύθμιση του συστήματος ασύλου. Το Ευρωπαϊκό Κοινοβούλιο και το Συμβούλιο θα πρέπει τώρα να αξιοποιήσουν την ευκαιρία που τους δίνεται ώστε να ολοκληρώσουν εγκαίρως τη διαδικασία πριν από τις εκλογές για το Ευρωπαϊκό Κοινοβούλιο</w:t>
      </w:r>
      <w:r>
        <w:rPr>
          <w:noProof/>
        </w:rPr>
        <w:t xml:space="preserve"> </w:t>
      </w:r>
      <w:r>
        <w:rPr>
          <w:rFonts w:ascii="Times New Roman" w:hAnsi="Times New Roman"/>
          <w:noProof/>
          <w:color w:val="000000"/>
          <w:sz w:val="24"/>
        </w:rPr>
        <w:t>και να καταδείξ</w:t>
      </w:r>
      <w:r>
        <w:rPr>
          <w:rFonts w:ascii="Times New Roman" w:hAnsi="Times New Roman"/>
          <w:noProof/>
          <w:color w:val="000000"/>
          <w:sz w:val="24"/>
        </w:rPr>
        <w:t>ουν στους πολίτες την ικανότητα της ΕΕ να σημειώνει πρόοδο. Όπως ανέφερε η Επιτροπή τον Δεκέμβριο του 2018</w:t>
      </w:r>
      <w:r>
        <w:rPr>
          <w:rStyle w:val="FootnoteReference"/>
          <w:rFonts w:ascii="Times New Roman" w:hAnsi="Times New Roman"/>
          <w:noProof/>
          <w:color w:val="000000"/>
          <w:sz w:val="24"/>
        </w:rPr>
        <w:footnoteReference w:id="42"/>
      </w:r>
      <w:r>
        <w:rPr>
          <w:rFonts w:ascii="Times New Roman" w:hAnsi="Times New Roman"/>
          <w:noProof/>
          <w:color w:val="000000"/>
          <w:sz w:val="24"/>
        </w:rPr>
        <w:t>, καθεμία από αυτές τις προτάσεις από μόνη της αποφέρει σημαντικό όφελος και δεν υπάρχει τεχνικό ή νομικό κώλυμα για την έκδοση μίας ή περισσότερων α</w:t>
      </w:r>
      <w:r>
        <w:rPr>
          <w:rFonts w:ascii="Times New Roman" w:hAnsi="Times New Roman"/>
          <w:noProof/>
          <w:color w:val="000000"/>
          <w:sz w:val="24"/>
        </w:rPr>
        <w:t>πό αυτές χωριστά. Ο κανονισμός για την αναγνώριση θα διασφαλίσει τα δικαιώματα των αναγνωρισμένων προσφύγων και θα αποθαρρύνει τις δευτερογενείς μετακινήσεις. Η οδηγία για τις συνθήκες υποδοχής θα αντιμετωπίσει επίσης τις δευτερογενείς μετακινήσεις, διασφα</w:t>
      </w:r>
      <w:r>
        <w:rPr>
          <w:rFonts w:ascii="Times New Roman" w:hAnsi="Times New Roman"/>
          <w:noProof/>
          <w:color w:val="000000"/>
          <w:sz w:val="24"/>
        </w:rPr>
        <w:t>λίζοντας εναρμονισμένες και αξιοπρεπείς συνθήκες για τους αιτούντες άσυλο</w:t>
      </w:r>
      <w:r>
        <w:rPr>
          <w:noProof/>
          <w:color w:val="000000"/>
        </w:rPr>
        <w:t xml:space="preserve"> </w:t>
      </w:r>
      <w:r>
        <w:rPr>
          <w:rFonts w:ascii="Times New Roman" w:hAnsi="Times New Roman"/>
          <w:noProof/>
          <w:color w:val="000000"/>
          <w:sz w:val="24"/>
        </w:rPr>
        <w:t>σε ολόκληρη την ΕΕ. Ο κανονισμός σχετικά με τον οργανισμό για το άσυλο θα εξασφαλίσει στον οργανισμό τη δυνατότητα να εντατικοποιήσει τη συνδρομή του προς τα κράτη μέλη με την παροχή</w:t>
      </w:r>
      <w:r>
        <w:rPr>
          <w:rFonts w:ascii="Times New Roman" w:hAnsi="Times New Roman"/>
          <w:noProof/>
          <w:color w:val="000000"/>
          <w:sz w:val="24"/>
        </w:rPr>
        <w:t xml:space="preserve"> ταχείας και πλήρους στήριξης. Οι νέοι κανόνες για τη βάση δεδομένων EURODAC θα παράσχουν στα κράτη μέλη τη δυνατότητα να παρακολουθούν τις δευτερογενείς μετακινήσεις και να βελτιώσουν την ταυτοποίηση προσώπων που δεν έχουν δικαίωμα διαμονής στην ΕΕ. Το πλ</w:t>
      </w:r>
      <w:r>
        <w:rPr>
          <w:rFonts w:ascii="Times New Roman" w:hAnsi="Times New Roman"/>
          <w:noProof/>
          <w:color w:val="000000"/>
          <w:sz w:val="24"/>
        </w:rPr>
        <w:t>αίσιο της Ένωσης για την επανεγκατάσταση θα εξασφαλίσει νόμιμες και ασφαλείς οδούς, θα μειώσει τις παράτυπες ροές και θα διευκολύνει τις σχέσεις με τους εξωτερικούς εταίρους μας. Η Επιτροπή θα συνεχίσει να εργάζεται από κοινού τόσο με το Ευρωπαϊκό Κοινοβού</w:t>
      </w:r>
      <w:r>
        <w:rPr>
          <w:rFonts w:ascii="Times New Roman" w:hAnsi="Times New Roman"/>
          <w:noProof/>
          <w:color w:val="000000"/>
          <w:sz w:val="24"/>
        </w:rPr>
        <w:t>λιο όσο και με το Συμβούλιο προκειμένου να προχωρήσει προς τη γραμμή του τερματισμού.</w:t>
      </w:r>
      <w:r>
        <w:rPr>
          <w:noProof/>
          <w:color w:val="000000"/>
        </w:rPr>
        <w:t xml:space="preserve"> </w:t>
      </w:r>
    </w:p>
    <w:p w:rsidR="00835C9C" w:rsidRDefault="00835C9C">
      <w:pPr>
        <w:jc w:val="both"/>
        <w:rPr>
          <w:rFonts w:ascii="Times New Roman" w:hAnsi="Times New Roman"/>
          <w:noProof/>
          <w:color w:val="000000"/>
          <w:sz w:val="24"/>
          <w:szCs w:val="24"/>
        </w:rPr>
      </w:pPr>
    </w:p>
    <w:p w:rsidR="00835C9C" w:rsidRDefault="003F26D7">
      <w:pPr>
        <w:jc w:val="both"/>
        <w:rPr>
          <w:rFonts w:ascii="Times New Roman" w:hAnsi="Times New Roman"/>
          <w:noProof/>
          <w:color w:val="000000"/>
          <w:sz w:val="24"/>
          <w:szCs w:val="24"/>
        </w:rPr>
      </w:pPr>
      <w:r>
        <w:rPr>
          <w:rFonts w:ascii="Times New Roman" w:hAnsi="Times New Roman"/>
          <w:noProof/>
          <w:color w:val="000000"/>
          <w:sz w:val="24"/>
        </w:rPr>
        <w:t>Η Επιτροπή συνεχίζει επίσης να παρακολουθεί τον τρόπο με τον οποίο εφαρμόζεται το ισχύον σύστημα ασύλου της ΕΕ στα κράτη μέλη της ΕΕ, μεταξύ άλλων με την εξέταση των ελ</w:t>
      </w:r>
      <w:r>
        <w:rPr>
          <w:rFonts w:ascii="Times New Roman" w:hAnsi="Times New Roman"/>
          <w:noProof/>
          <w:color w:val="000000"/>
          <w:sz w:val="24"/>
        </w:rPr>
        <w:t xml:space="preserve">λείψεων σε επίπεδο εφαρμογής ή των ανεπαρκειών της εθνικής νομοθεσίας με την οποία μεταφέρονται οι διάφορες πράξεις για το άσυλο στο εθνικό δίκαιο. </w:t>
      </w:r>
    </w:p>
    <w:p w:rsidR="00835C9C" w:rsidRDefault="00835C9C">
      <w:pPr>
        <w:jc w:val="both"/>
        <w:rPr>
          <w:rFonts w:ascii="Times New Roman" w:hAnsi="Times New Roman"/>
          <w:noProof/>
          <w:color w:val="000000"/>
          <w:sz w:val="24"/>
          <w:szCs w:val="24"/>
        </w:rPr>
      </w:pPr>
    </w:p>
    <w:p w:rsidR="00835C9C" w:rsidRDefault="003F26D7">
      <w:pPr>
        <w:spacing w:after="120"/>
        <w:jc w:val="both"/>
        <w:rPr>
          <w:rFonts w:ascii="Times New Roman" w:hAnsi="Times New Roman"/>
          <w:i/>
          <w:noProof/>
          <w:color w:val="000000"/>
          <w:sz w:val="24"/>
          <w:szCs w:val="24"/>
        </w:rPr>
      </w:pPr>
      <w:r>
        <w:rPr>
          <w:rFonts w:ascii="Times New Roman" w:hAnsi="Times New Roman"/>
          <w:i/>
          <w:noProof/>
          <w:color w:val="000000"/>
          <w:sz w:val="24"/>
        </w:rPr>
        <w:t>Στήριξη της ΕΕ για προστασία στο εξωτερικό</w:t>
      </w:r>
    </w:p>
    <w:p w:rsidR="00835C9C" w:rsidRDefault="003F26D7">
      <w:pPr>
        <w:jc w:val="both"/>
        <w:rPr>
          <w:rFonts w:ascii="Times New Roman" w:hAnsi="Times New Roman"/>
          <w:noProof/>
          <w:color w:val="000000"/>
          <w:sz w:val="24"/>
          <w:szCs w:val="24"/>
        </w:rPr>
      </w:pPr>
      <w:r>
        <w:rPr>
          <w:rFonts w:ascii="Times New Roman" w:hAnsi="Times New Roman"/>
          <w:noProof/>
          <w:sz w:val="24"/>
        </w:rPr>
        <w:t xml:space="preserve">Η παροχή ασφαλών και ομαλών οδών επανεγκατάστασης σε όσους τις </w:t>
      </w:r>
      <w:r>
        <w:rPr>
          <w:rFonts w:ascii="Times New Roman" w:hAnsi="Times New Roman"/>
          <w:noProof/>
          <w:sz w:val="24"/>
        </w:rPr>
        <w:t xml:space="preserve">έχουν περισσότερο ανάγκη αντικατοπτρίζει τις αξίες της ΕΕ και ενισχύει την αξιοπιστία της απέναντι στις τρίτες χώρες εταίρους. </w:t>
      </w:r>
      <w:r>
        <w:rPr>
          <w:rFonts w:ascii="Times New Roman" w:hAnsi="Times New Roman"/>
          <w:noProof/>
          <w:color w:val="000000"/>
          <w:sz w:val="24"/>
        </w:rPr>
        <w:t>Η επανεγκατάσταση παρέχει μια ασφαλή διαδρομή προς την Ευρώπη για όσους δικαιούνται διεθνή προστασία. Στο πλαίσιο του τρέχοντος π</w:t>
      </w:r>
      <w:r>
        <w:rPr>
          <w:rFonts w:ascii="Times New Roman" w:hAnsi="Times New Roman"/>
          <w:noProof/>
          <w:color w:val="000000"/>
          <w:sz w:val="24"/>
        </w:rPr>
        <w:t>ρογράμματος επανεγκατάστασης της ΕΕ, 20 κράτη μέλη έχουν δεσμευτεί να παράσχουν περισσότερες από 50 000 θέσεις σε όσους το έχουν περισσότερο ανάγκη έως τον Οκτώβριο του 2019. Περισσότερες από 24 000 από αυτές τις δεσμεύσεις έχουν ήδη υλοποιηθεί, παρέχοντας</w:t>
      </w:r>
      <w:r>
        <w:rPr>
          <w:rFonts w:ascii="Times New Roman" w:hAnsi="Times New Roman"/>
          <w:noProof/>
          <w:color w:val="000000"/>
          <w:sz w:val="24"/>
        </w:rPr>
        <w:t xml:space="preserve"> σε ανθρώπους καταφύγιο στην ΕΕ. Για παράδειγμα, η υπό εξέλιξη επανεγκατάσταση περισσότερων από 2 000 ατόμων από τη Λιβύη είναι καθοριστική για την ικανότητα της ΕΕ να παρέχει προστασία σε όσους τη χρειάζονται επειγόντως, σε συνεργασία με την Ύπατη Αρμοστε</w:t>
      </w:r>
      <w:r>
        <w:rPr>
          <w:rFonts w:ascii="Times New Roman" w:hAnsi="Times New Roman"/>
          <w:noProof/>
          <w:color w:val="000000"/>
          <w:sz w:val="24"/>
        </w:rPr>
        <w:t xml:space="preserve">ία των Ηνωμένων Εθνών για τους Πρόσφυγες (UNHCR) και τις νιγηρικές αρχές. Τώρα τα κράτη μέλη πρέπει να διατηρήσουν αυτή τη δυναμική και να διασφαλίσουν ότι οι υπόλοιπες δεσμεύσεις θα εκπληρωθούν εντός της προθεσμίας του Οκτωβρίου. </w:t>
      </w:r>
    </w:p>
    <w:p w:rsidR="00835C9C" w:rsidRDefault="00835C9C">
      <w:pPr>
        <w:jc w:val="both"/>
        <w:rPr>
          <w:rFonts w:ascii="Times New Roman" w:hAnsi="Times New Roman"/>
          <w:noProof/>
          <w:color w:val="000000"/>
          <w:sz w:val="24"/>
          <w:szCs w:val="24"/>
        </w:rPr>
      </w:pPr>
    </w:p>
    <w:p w:rsidR="00835C9C" w:rsidRDefault="003F26D7">
      <w:pPr>
        <w:jc w:val="both"/>
        <w:rPr>
          <w:rFonts w:ascii="Times New Roman" w:hAnsi="Times New Roman"/>
          <w:noProof/>
          <w:color w:val="000000"/>
          <w:sz w:val="24"/>
          <w:szCs w:val="24"/>
        </w:rPr>
      </w:pPr>
      <w:r>
        <w:rPr>
          <w:rFonts w:ascii="Times New Roman" w:hAnsi="Times New Roman"/>
          <w:noProof/>
          <w:color w:val="000000"/>
          <w:sz w:val="24"/>
        </w:rPr>
        <w:t>Η προστασία των προσφύγ</w:t>
      </w:r>
      <w:r>
        <w:rPr>
          <w:rFonts w:ascii="Times New Roman" w:hAnsi="Times New Roman"/>
          <w:noProof/>
          <w:color w:val="000000"/>
          <w:sz w:val="24"/>
        </w:rPr>
        <w:t>ων και των μεταναστών εκτός της ΕΕ αποτελεί ένα από τα βασικά θέματα της πολιτικής της ΕΕ από το 2015. Εκατομμύρια άνθρωποι έχουν λάβει στήριξη μέσω προγραμμάτων για την κάλυψη βασικών αναγκών και για τη βελτίωση της ποιότητας ζωής των ατόμων που αναγκάζον</w:t>
      </w:r>
      <w:r>
        <w:rPr>
          <w:rFonts w:ascii="Times New Roman" w:hAnsi="Times New Roman"/>
          <w:noProof/>
          <w:color w:val="000000"/>
          <w:sz w:val="24"/>
        </w:rPr>
        <w:t xml:space="preserve">ται να εγκαταλείψουν τις χώρες τους λόγω συγκρούσεων. </w:t>
      </w:r>
      <w:r>
        <w:rPr>
          <w:rFonts w:ascii="Times New Roman" w:hAnsi="Times New Roman"/>
          <w:noProof/>
          <w:sz w:val="24"/>
        </w:rPr>
        <w:t xml:space="preserve">Ειδικότερα, η παρατεταμένη κρίση στη Συρία έχει δημιουργήσει τεράστιες ανθρωπιστικές ανάγκες για περισσότερα από 13 εκατομμύρια άτομα εντός της χώρας και 5,6 εκατομμύρια άτομα σε γειτονικές χώρες. </w:t>
      </w:r>
    </w:p>
    <w:p w:rsidR="00835C9C" w:rsidRDefault="00835C9C">
      <w:pPr>
        <w:jc w:val="both"/>
        <w:rPr>
          <w:rFonts w:ascii="Times New Roman" w:hAnsi="Times New Roman"/>
          <w:noProof/>
          <w:color w:val="000000"/>
          <w:sz w:val="24"/>
          <w:szCs w:val="24"/>
        </w:rPr>
      </w:pPr>
    </w:p>
    <w:p w:rsidR="00835C9C" w:rsidRDefault="003F26D7">
      <w:pPr>
        <w:pStyle w:val="ListParagraph"/>
        <w:numPr>
          <w:ilvl w:val="0"/>
          <w:numId w:val="64"/>
        </w:numPr>
        <w:spacing w:after="120"/>
        <w:ind w:left="425" w:hanging="357"/>
        <w:contextualSpacing w:val="0"/>
        <w:jc w:val="both"/>
        <w:rPr>
          <w:rFonts w:ascii="Times New Roman" w:hAnsi="Times New Roman"/>
          <w:noProof/>
          <w:color w:val="000000"/>
          <w:sz w:val="24"/>
          <w:szCs w:val="24"/>
        </w:rPr>
      </w:pPr>
      <w:r>
        <w:rPr>
          <w:rFonts w:ascii="Times New Roman" w:hAnsi="Times New Roman"/>
          <w:noProof/>
          <w:color w:val="000000"/>
          <w:sz w:val="24"/>
        </w:rPr>
        <w:t>Η σ</w:t>
      </w:r>
      <w:r>
        <w:rPr>
          <w:rFonts w:ascii="Times New Roman" w:hAnsi="Times New Roman"/>
          <w:noProof/>
          <w:color w:val="000000"/>
          <w:sz w:val="24"/>
        </w:rPr>
        <w:t xml:space="preserve">τήριξη της ΕΕ στο πλαίσιο της Διευκόλυνσης για τους Πρόσφυγες στην Τουρκία ενισχύει το τεράστιο έργο της υποδοχής σχεδόν 4 εκατομμυρίων προσφύγων στην Τουρκία. Έως το τέλος του 2018, με την ανθρωπιστική βοήθεια είχε παρασχεθεί συνδρομή σε </w:t>
      </w:r>
      <w:r>
        <w:rPr>
          <w:rFonts w:ascii="Times New Roman" w:hAnsi="Times New Roman"/>
          <w:noProof/>
          <w:sz w:val="24"/>
        </w:rPr>
        <w:t>1,5 εκατομμύριο π</w:t>
      </w:r>
      <w:r>
        <w:rPr>
          <w:rFonts w:ascii="Times New Roman" w:hAnsi="Times New Roman"/>
          <w:noProof/>
          <w:sz w:val="24"/>
        </w:rPr>
        <w:t>ρόσφυγες από τις πλέον ευάλωτες ομάδες μέσα από το Κοινωνικό Δίχτυ Ασφαλείας Έκτακτης Ανάγκης, ένα πρόγραμμα κοινωνικής αρωγής που λειτουργεί ως δίχτυ ασφαλείας, και περισσότεροι από 410 000 μαθητές έλαβαν στήριξη για να φοιτήσουν στο σχολείο</w:t>
      </w:r>
      <w:r>
        <w:rPr>
          <w:rStyle w:val="FootnoteReference"/>
          <w:rFonts w:ascii="Times New Roman" w:hAnsi="Times New Roman"/>
          <w:noProof/>
          <w:sz w:val="24"/>
        </w:rPr>
        <w:footnoteReference w:id="43"/>
      </w:r>
      <w:r>
        <w:rPr>
          <w:noProof/>
        </w:rPr>
        <w:t>.</w:t>
      </w:r>
      <w:r>
        <w:rPr>
          <w:rFonts w:ascii="Times New Roman" w:hAnsi="Times New Roman"/>
          <w:noProof/>
          <w:sz w:val="24"/>
        </w:rPr>
        <w:t xml:space="preserve"> Παρασχέθηκε</w:t>
      </w:r>
      <w:r>
        <w:rPr>
          <w:rFonts w:ascii="Times New Roman" w:hAnsi="Times New Roman"/>
          <w:noProof/>
          <w:sz w:val="24"/>
        </w:rPr>
        <w:t xml:space="preserve"> βοήθεια σε άλλα 600 000 παιδιά για να ενταχθούν στο τουρκικό εκπαιδευτικό σύστημα. Παρασχέθηκε στήριξη για τέσσερα εκατομμύρια ιατρικές επισκέψεις πρωτοβάθμιας υγειονομικής περίθαλψης και εμβολιάστηκαν περισσότερα από 500 000 παιδιά από τη Συρία. Πλέον έχ</w:t>
      </w:r>
      <w:r>
        <w:rPr>
          <w:rFonts w:ascii="Times New Roman" w:hAnsi="Times New Roman"/>
          <w:noProof/>
          <w:sz w:val="24"/>
        </w:rPr>
        <w:t>ουν δεσμευτεί 1,2 δισ. EUR από τη δεύτερη δόση των 3 δισ. EUR.</w:t>
      </w:r>
    </w:p>
    <w:p w:rsidR="00835C9C" w:rsidRDefault="003F26D7">
      <w:pPr>
        <w:pStyle w:val="ListParagraph"/>
        <w:numPr>
          <w:ilvl w:val="0"/>
          <w:numId w:val="64"/>
        </w:numPr>
        <w:spacing w:after="120"/>
        <w:ind w:left="425" w:hanging="357"/>
        <w:contextualSpacing w:val="0"/>
        <w:jc w:val="both"/>
        <w:rPr>
          <w:rFonts w:ascii="Times New Roman" w:hAnsi="Times New Roman"/>
          <w:noProof/>
          <w:sz w:val="24"/>
        </w:rPr>
      </w:pPr>
      <w:r>
        <w:rPr>
          <w:rFonts w:ascii="Times New Roman" w:hAnsi="Times New Roman"/>
          <w:noProof/>
          <w:sz w:val="24"/>
        </w:rPr>
        <w:t xml:space="preserve">Το 2018, η ΕΕ έδωσε συνέχεια στη δέσμευση που ανέλαβε κατά τη δεύτερη διάσκεψη των Βρυξελλών για τη στήριξη της Συρίας και της ευρύτερης περιοχής, με αποτέλεσμα η συνολική στήριξη της </w:t>
      </w:r>
      <w:r>
        <w:rPr>
          <w:rStyle w:val="Strong"/>
          <w:b w:val="0"/>
          <w:noProof/>
          <w:sz w:val="24"/>
        </w:rPr>
        <w:t>ΕΕ και τω</w:t>
      </w:r>
      <w:r>
        <w:rPr>
          <w:rStyle w:val="Strong"/>
          <w:b w:val="0"/>
          <w:noProof/>
          <w:sz w:val="24"/>
        </w:rPr>
        <w:t>ν κρατών μελών της</w:t>
      </w:r>
      <w:r>
        <w:rPr>
          <w:rFonts w:ascii="Times New Roman" w:hAnsi="Times New Roman"/>
          <w:noProof/>
          <w:sz w:val="24"/>
        </w:rPr>
        <w:t xml:space="preserve"> από την έναρξη της κρίσης να ανέλθει σε περίπου </w:t>
      </w:r>
      <w:r>
        <w:rPr>
          <w:rStyle w:val="Strong"/>
          <w:b w:val="0"/>
          <w:noProof/>
          <w:sz w:val="24"/>
        </w:rPr>
        <w:t>17 δισ. EUR</w:t>
      </w:r>
      <w:r>
        <w:rPr>
          <w:rFonts w:ascii="Times New Roman" w:hAnsi="Times New Roman"/>
          <w:noProof/>
          <w:sz w:val="24"/>
        </w:rPr>
        <w:t>, καθιστώντας την ΕΕ τον κορυφαίο χορηγό βοήθειας. Όπως και στην Τουρκία, η ΕΕ έχει παράσχει σημαντική ανθρωπιστική στήριξη σε εκτοπισθέντες στο εσωτερικό της Συρίας, καθώς και σ</w:t>
      </w:r>
      <w:r>
        <w:rPr>
          <w:rFonts w:ascii="Times New Roman" w:hAnsi="Times New Roman"/>
          <w:noProof/>
          <w:sz w:val="24"/>
        </w:rPr>
        <w:t xml:space="preserve">ε </w:t>
      </w:r>
      <w:r>
        <w:rPr>
          <w:rStyle w:val="Strong"/>
          <w:b w:val="0"/>
          <w:noProof/>
          <w:sz w:val="24"/>
        </w:rPr>
        <w:t>πρόσφυγες και κοινότητες υποδοχής στην Ιορδανία και στον Λίβανο, ενώ έχει επίσης παράσχει βοήθεια στο Ιράκ και στην Αίγυπτο.</w:t>
      </w:r>
      <w:r>
        <w:rPr>
          <w:rFonts w:ascii="Times New Roman" w:hAnsi="Times New Roman"/>
          <w:noProof/>
          <w:sz w:val="24"/>
        </w:rPr>
        <w:t xml:space="preserve"> Συνολικά, το </w:t>
      </w:r>
      <w:r>
        <w:rPr>
          <w:rFonts w:ascii="Times New Roman" w:hAnsi="Times New Roman"/>
          <w:noProof/>
          <w:color w:val="000000"/>
          <w:sz w:val="24"/>
        </w:rPr>
        <w:t xml:space="preserve">Περιφερειακό Καταπιστευματικό Ταμείο της ΕΕ για την Αντιμετώπιση της Συριακής Κρίσης προσέφερε στήριξη σε περίπου 2 </w:t>
      </w:r>
      <w:r>
        <w:rPr>
          <w:rFonts w:ascii="Times New Roman" w:hAnsi="Times New Roman"/>
          <w:noProof/>
          <w:color w:val="000000"/>
          <w:sz w:val="24"/>
        </w:rPr>
        <w:t>εκατομμύρια Σύριους πρόσφυγες και κοινότητες υποδοχής το 2018</w:t>
      </w:r>
      <w:r>
        <w:rPr>
          <w:rStyle w:val="FootnoteReference"/>
          <w:rFonts w:ascii="Times New Roman" w:hAnsi="Times New Roman"/>
          <w:noProof/>
          <w:color w:val="000000"/>
          <w:sz w:val="24"/>
        </w:rPr>
        <w:footnoteReference w:id="44"/>
      </w:r>
      <w:r>
        <w:rPr>
          <w:noProof/>
        </w:rPr>
        <w:t>.</w:t>
      </w:r>
      <w:r>
        <w:rPr>
          <w:rFonts w:ascii="Times New Roman" w:hAnsi="Times New Roman"/>
          <w:noProof/>
          <w:color w:val="000000"/>
          <w:sz w:val="24"/>
        </w:rPr>
        <w:t xml:space="preserve"> </w:t>
      </w:r>
      <w:r>
        <w:rPr>
          <w:rFonts w:ascii="Times New Roman" w:hAnsi="Times New Roman"/>
          <w:noProof/>
          <w:sz w:val="24"/>
        </w:rPr>
        <w:t>Η επικείμενη τρίτη διάσκεψη των Βρυξελλών</w:t>
      </w:r>
      <w:r>
        <w:rPr>
          <w:rFonts w:ascii="Times New Roman" w:hAnsi="Times New Roman"/>
          <w:b/>
          <w:noProof/>
          <w:sz w:val="24"/>
        </w:rPr>
        <w:t xml:space="preserve"> </w:t>
      </w:r>
      <w:r>
        <w:rPr>
          <w:rFonts w:ascii="Times New Roman" w:hAnsi="Times New Roman"/>
          <w:noProof/>
          <w:sz w:val="24"/>
        </w:rPr>
        <w:t>θα είναι η βασική εκδήλωση για την ανάληψη δεσμεύσεων για την ανταπόκριση στη συριακή κρίση το 2019 και η ΕΕ προτίθεται να διατηρήσει την ενωσιακή δέσ</w:t>
      </w:r>
      <w:r>
        <w:rPr>
          <w:rFonts w:ascii="Times New Roman" w:hAnsi="Times New Roman"/>
          <w:noProof/>
          <w:sz w:val="24"/>
        </w:rPr>
        <w:t>μευση που αναλήφθηκε τα προηγούμενα έτη.</w:t>
      </w:r>
    </w:p>
    <w:p w:rsidR="00835C9C" w:rsidRDefault="003F26D7">
      <w:pPr>
        <w:pStyle w:val="ListParagraph"/>
        <w:numPr>
          <w:ilvl w:val="0"/>
          <w:numId w:val="64"/>
        </w:numPr>
        <w:spacing w:after="120"/>
        <w:ind w:left="425" w:hanging="357"/>
        <w:contextualSpacing w:val="0"/>
        <w:jc w:val="both"/>
        <w:rPr>
          <w:rFonts w:ascii="Times New Roman" w:hAnsi="Times New Roman"/>
          <w:noProof/>
          <w:color w:val="000000"/>
          <w:sz w:val="24"/>
          <w:szCs w:val="24"/>
        </w:rPr>
      </w:pPr>
      <w:r>
        <w:rPr>
          <w:rFonts w:ascii="Times New Roman" w:hAnsi="Times New Roman"/>
          <w:noProof/>
          <w:color w:val="000000"/>
          <w:sz w:val="24"/>
        </w:rPr>
        <w:t>Τα περιφερειακά προγράμματα ανάπτυξης και προστασίας που εστιάζουν στη Βόρεια Αφρική και στο Κέρας της Αφρικής στηρίζουν τρίτες χώρες που υποδέχονται μεγάλους αριθμούς προσφύγων για την κάλυψη των αναγκών τους σε θέ</w:t>
      </w:r>
      <w:r>
        <w:rPr>
          <w:rFonts w:ascii="Times New Roman" w:hAnsi="Times New Roman"/>
          <w:noProof/>
          <w:color w:val="000000"/>
          <w:sz w:val="24"/>
        </w:rPr>
        <w:t>ματα προστασίας και ανάπτυξης</w:t>
      </w:r>
      <w:r>
        <w:rPr>
          <w:rStyle w:val="FootnoteReference"/>
          <w:rFonts w:ascii="Times New Roman" w:hAnsi="Times New Roman"/>
          <w:noProof/>
          <w:color w:val="000000"/>
          <w:sz w:val="24"/>
        </w:rPr>
        <w:footnoteReference w:id="45"/>
      </w:r>
      <w:r>
        <w:rPr>
          <w:noProof/>
        </w:rPr>
        <w:t>.</w:t>
      </w:r>
    </w:p>
    <w:p w:rsidR="00835C9C" w:rsidRDefault="003F26D7">
      <w:pPr>
        <w:pStyle w:val="ListParagraph"/>
        <w:numPr>
          <w:ilvl w:val="0"/>
          <w:numId w:val="64"/>
        </w:numPr>
        <w:spacing w:after="120"/>
        <w:ind w:left="426"/>
        <w:jc w:val="both"/>
        <w:rPr>
          <w:rFonts w:ascii="Times New Roman" w:hAnsi="Times New Roman"/>
          <w:noProof/>
          <w:color w:val="000000"/>
          <w:sz w:val="24"/>
          <w:szCs w:val="24"/>
        </w:rPr>
      </w:pPr>
      <w:r>
        <w:rPr>
          <w:rFonts w:ascii="Times New Roman" w:hAnsi="Times New Roman"/>
          <w:noProof/>
          <w:color w:val="000000"/>
          <w:sz w:val="24"/>
        </w:rPr>
        <w:t>Η προστασία αποτελεί επίσης κεντρικό θέμα του Καταπιστευματικού Ταμείου της ΕΕ για την Αφρική, συμπληρωματικά προς την ανθρωπιστική βοήθεια, με την κάλυψη των βασικών αναγκών των αναγκαστικά εκτοπισθέντων. Με περισσότερα από</w:t>
      </w:r>
      <w:r>
        <w:rPr>
          <w:rFonts w:ascii="Times New Roman" w:hAnsi="Times New Roman"/>
          <w:noProof/>
          <w:color w:val="000000"/>
          <w:sz w:val="24"/>
        </w:rPr>
        <w:t xml:space="preserve"> 4 εκατομμύρια πρόσφυγες στην περιοχή του Κέρατος της Αφρικής και μόνο, και με κατ’ εκτίμηση 10 εκατομμύρια εκτοπισθέντες στο εσωτερικό της χώρας, το Καταπιστευματικό Ταμείο έχει επενδύσει στην παροχή συνδρομής στους πληθυσμούς προσφύγων ώστε να καταστούν </w:t>
      </w:r>
      <w:r>
        <w:rPr>
          <w:rFonts w:ascii="Times New Roman" w:hAnsi="Times New Roman"/>
          <w:noProof/>
          <w:color w:val="000000"/>
          <w:sz w:val="24"/>
        </w:rPr>
        <w:t>αυτάρκεις, παράλληλα με τη στήριξη των κοινοτήτων υποδοχής. Ιδιαίτερη προσοχή στο πλαίσιο της χρηματοδότησης από το Καταπιστευματικό Ταμείο δίνεται στην προαγωγή της απαραίτητης σταθεροποίησης στη Σομαλία και στο Σουδάν.</w:t>
      </w:r>
    </w:p>
    <w:p w:rsidR="00835C9C" w:rsidRDefault="003F26D7">
      <w:pPr>
        <w:jc w:val="both"/>
        <w:rPr>
          <w:rFonts w:ascii="Times New Roman" w:hAnsi="Times New Roman"/>
          <w:noProof/>
          <w:color w:val="000000"/>
          <w:sz w:val="24"/>
          <w:szCs w:val="24"/>
        </w:rPr>
      </w:pPr>
      <w:r>
        <w:rPr>
          <w:rFonts w:ascii="Times New Roman" w:hAnsi="Times New Roman"/>
          <w:noProof/>
          <w:color w:val="000000"/>
          <w:sz w:val="24"/>
        </w:rPr>
        <w:t xml:space="preserve">Η αναγκαστική εκτόπιση αποτελεί </w:t>
      </w:r>
      <w:r>
        <w:rPr>
          <w:rFonts w:ascii="Times New Roman" w:hAnsi="Times New Roman"/>
          <w:noProof/>
          <w:color w:val="000000"/>
          <w:sz w:val="24"/>
        </w:rPr>
        <w:t>παγκόσμιο φαινόμενο που απαιτεί παγκόσμιες λύσεις. Η ύπαρξη λειτουργικών συστημάτων ασύλου είναι καίριας σημασίας, τόσο σε τρίτες χώρες εταίρους όσο και στην ΕΕ. Η ΕΕ θα πρέπει να αξιοποιήσει την ώθηση από το Παγκόσμιο Σύμφωνο για τους Πρόσφυγες ως πλατφόρ</w:t>
      </w:r>
      <w:r>
        <w:rPr>
          <w:rFonts w:ascii="Times New Roman" w:hAnsi="Times New Roman"/>
          <w:noProof/>
          <w:color w:val="000000"/>
          <w:sz w:val="24"/>
        </w:rPr>
        <w:t>μα για να συνεχίσει να χρησιμοποιεί τα υφιστάμενα ενωσιακά πλαίσια, ώστε να βοηθά τις τρίτες χώρες να παρέχουν στήριξη στους πρόσφυγες εκτός ΕΕ.</w:t>
      </w:r>
    </w:p>
    <w:p w:rsidR="00835C9C" w:rsidRDefault="003F26D7">
      <w:pPr>
        <w:spacing w:after="200" w:line="276" w:lineRule="auto"/>
        <w:rPr>
          <w:rFonts w:ascii="Times New Roman" w:hAnsi="Times New Roman"/>
          <w:noProof/>
          <w:color w:val="000000"/>
          <w:sz w:val="24"/>
          <w:szCs w:val="24"/>
        </w:rPr>
      </w:pPr>
      <w:r>
        <w:rPr>
          <w:noProof/>
        </w:rPr>
        <w:br w:type="page"/>
      </w:r>
    </w:p>
    <w:tbl>
      <w:tblPr>
        <w:tblStyle w:val="TableGrid"/>
        <w:tblW w:w="0" w:type="auto"/>
        <w:tblLook w:val="04A0" w:firstRow="1" w:lastRow="0" w:firstColumn="1" w:lastColumn="0" w:noHBand="0" w:noVBand="1"/>
      </w:tblPr>
      <w:tblGrid>
        <w:gridCol w:w="9286"/>
      </w:tblGrid>
      <w:tr w:rsidR="00835C9C">
        <w:tc>
          <w:tcPr>
            <w:tcW w:w="9286" w:type="dxa"/>
            <w:shd w:val="clear" w:color="auto" w:fill="1F497D" w:themeFill="text2"/>
          </w:tcPr>
          <w:p w:rsidR="00835C9C" w:rsidRDefault="003F26D7">
            <w:pPr>
              <w:shd w:val="clear" w:color="auto" w:fill="1F497D" w:themeFill="text2"/>
              <w:spacing w:after="120"/>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Βασικές επόμενες ενέργειες</w:t>
            </w:r>
          </w:p>
        </w:tc>
      </w:tr>
      <w:tr w:rsidR="00835C9C">
        <w:tc>
          <w:tcPr>
            <w:tcW w:w="9286" w:type="dxa"/>
            <w:shd w:val="clear" w:color="auto" w:fill="C6D9F1" w:themeFill="text2" w:themeFillTint="33"/>
          </w:tcPr>
          <w:p w:rsidR="00835C9C" w:rsidRDefault="003F26D7">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Το Ευρωπαϊκό Κοινοβούλιο και το Συμβούλιο θα πρέπει να </w:t>
            </w:r>
            <w:r>
              <w:rPr>
                <w:rFonts w:ascii="Times New Roman" w:hAnsi="Times New Roman"/>
                <w:noProof/>
                <w:color w:val="000000"/>
                <w:sz w:val="24"/>
              </w:rPr>
              <w:t xml:space="preserve">εγκρίνουν το </w:t>
            </w:r>
            <w:r>
              <w:rPr>
                <w:rFonts w:ascii="Times New Roman" w:hAnsi="Times New Roman"/>
                <w:b/>
                <w:noProof/>
                <w:color w:val="000000"/>
                <w:sz w:val="24"/>
              </w:rPr>
              <w:t>νέο νομοθετικ</w:t>
            </w:r>
            <w:r>
              <w:rPr>
                <w:rFonts w:ascii="Times New Roman" w:hAnsi="Times New Roman"/>
                <w:b/>
                <w:noProof/>
                <w:color w:val="000000"/>
                <w:sz w:val="24"/>
              </w:rPr>
              <w:t>ό πλαίσιο</w:t>
            </w:r>
            <w:r>
              <w:rPr>
                <w:rFonts w:ascii="Times New Roman" w:hAnsi="Times New Roman"/>
                <w:noProof/>
                <w:color w:val="000000"/>
                <w:sz w:val="24"/>
              </w:rPr>
              <w:t xml:space="preserve"> που απαιτείται για να τεθεί σε εφαρμογή ένα </w:t>
            </w:r>
            <w:r>
              <w:rPr>
                <w:rFonts w:ascii="Times New Roman" w:eastAsiaTheme="minorHAnsi" w:hAnsi="Times New Roman"/>
                <w:noProof/>
                <w:color w:val="000000"/>
                <w:sz w:val="24"/>
              </w:rPr>
              <w:t>κοινό ευρωπαϊκό σύστημα ασύλου</w:t>
            </w:r>
            <w:r>
              <w:rPr>
                <w:rFonts w:ascii="Times New Roman" w:hAnsi="Times New Roman"/>
                <w:noProof/>
                <w:color w:val="000000"/>
                <w:sz w:val="24"/>
              </w:rPr>
              <w:t xml:space="preserve"> αντάξιο των προκλήσεων του μέλλοντος.</w:t>
            </w:r>
            <w:r>
              <w:rPr>
                <w:rFonts w:ascii="Times New Roman" w:eastAsiaTheme="minorHAnsi" w:hAnsi="Times New Roman"/>
                <w:noProof/>
                <w:color w:val="000000"/>
                <w:sz w:val="24"/>
              </w:rPr>
              <w:t xml:space="preserve"> Οι </w:t>
            </w:r>
            <w:r>
              <w:rPr>
                <w:rFonts w:ascii="Times New Roman" w:hAnsi="Times New Roman"/>
                <w:noProof/>
                <w:sz w:val="24"/>
              </w:rPr>
              <w:t xml:space="preserve">προτάσεις που πλησιάζουν στο στάδιο της οριστικοποίησης θα πρέπει να εγκριθούν </w:t>
            </w:r>
            <w:r>
              <w:rPr>
                <w:rFonts w:ascii="Times New Roman" w:eastAsiaTheme="minorHAnsi" w:hAnsi="Times New Roman"/>
                <w:noProof/>
                <w:color w:val="000000"/>
                <w:sz w:val="24"/>
              </w:rPr>
              <w:t>πριν από τις εκλογές για το Ευρωπαϊκό Κοινοβούλιο.</w:t>
            </w:r>
          </w:p>
          <w:p w:rsidR="00835C9C" w:rsidRDefault="003F26D7">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Τα κράτη μέλη θα πρέπει να διασφαλίσουν ότι οι δεσμεύσεις για </w:t>
            </w:r>
            <w:r>
              <w:rPr>
                <w:rFonts w:ascii="Times New Roman" w:eastAsiaTheme="minorHAnsi" w:hAnsi="Times New Roman"/>
                <w:b/>
                <w:i/>
                <w:noProof/>
                <w:color w:val="000000"/>
                <w:sz w:val="24"/>
              </w:rPr>
              <w:t>επανεγκατάσταση</w:t>
            </w:r>
            <w:r>
              <w:rPr>
                <w:rFonts w:ascii="Times New Roman" w:eastAsiaTheme="minorHAnsi" w:hAnsi="Times New Roman"/>
                <w:noProof/>
                <w:color w:val="000000"/>
                <w:sz w:val="24"/>
              </w:rPr>
              <w:t xml:space="preserve"> 50 000 ατόμων θα εκπληρωθούν έως την προθεσμία του Οκτωβρίου του 2019.</w:t>
            </w:r>
          </w:p>
          <w:p w:rsidR="00835C9C" w:rsidRDefault="003F26D7">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Η ΕΕ και τα κράτη μέλη θα πρέπει να διατηρήσουν τη στήριξη που είναι ουσιώδης για την </w:t>
            </w:r>
            <w:r>
              <w:rPr>
                <w:rFonts w:ascii="Times New Roman" w:eastAsiaTheme="minorHAnsi" w:hAnsi="Times New Roman"/>
                <w:b/>
                <w:i/>
                <w:noProof/>
                <w:color w:val="000000"/>
                <w:sz w:val="24"/>
              </w:rPr>
              <w:t>προστασία των προσφύγ</w:t>
            </w:r>
            <w:r>
              <w:rPr>
                <w:rFonts w:ascii="Times New Roman" w:eastAsiaTheme="minorHAnsi" w:hAnsi="Times New Roman"/>
                <w:b/>
                <w:i/>
                <w:noProof/>
                <w:color w:val="000000"/>
                <w:sz w:val="24"/>
              </w:rPr>
              <w:t>ων και των μεταναστών σε τρίτες χώρες</w:t>
            </w:r>
            <w:r>
              <w:rPr>
                <w:rFonts w:ascii="Times New Roman" w:eastAsiaTheme="minorHAnsi" w:hAnsi="Times New Roman"/>
                <w:noProof/>
                <w:color w:val="000000"/>
                <w:sz w:val="24"/>
              </w:rPr>
              <w:t>, συμπεριλαμβανομένης της κάλυψης προηγούμενων δεσμεύσεων που αναλήφθηκαν στην τρίτη διάσκεψη των Βρυξελλών για τη Συρία.</w:t>
            </w:r>
          </w:p>
        </w:tc>
      </w:tr>
    </w:tbl>
    <w:p w:rsidR="00835C9C" w:rsidRDefault="00835C9C">
      <w:pPr>
        <w:pStyle w:val="ListParagraph"/>
        <w:ind w:left="360"/>
        <w:rPr>
          <w:rFonts w:ascii="Times New Roman" w:hAnsi="Times New Roman"/>
          <w:b/>
          <w:noProof/>
          <w:sz w:val="24"/>
        </w:rPr>
      </w:pPr>
    </w:p>
    <w:p w:rsidR="00835C9C" w:rsidRDefault="00835C9C">
      <w:pPr>
        <w:pStyle w:val="ListParagraph"/>
        <w:ind w:left="360"/>
        <w:rPr>
          <w:rFonts w:ascii="Times New Roman" w:hAnsi="Times New Roman"/>
          <w:b/>
          <w:noProof/>
          <w:sz w:val="24"/>
        </w:rPr>
      </w:pPr>
    </w:p>
    <w:p w:rsidR="00835C9C" w:rsidRDefault="003F26D7">
      <w:pPr>
        <w:pStyle w:val="ListParagraph"/>
        <w:numPr>
          <w:ilvl w:val="0"/>
          <w:numId w:val="3"/>
        </w:numPr>
        <w:rPr>
          <w:rFonts w:ascii="Times New Roman" w:hAnsi="Times New Roman"/>
          <w:b/>
          <w:i/>
          <w:noProof/>
          <w:sz w:val="24"/>
          <w:szCs w:val="24"/>
        </w:rPr>
      </w:pPr>
      <w:r>
        <w:rPr>
          <w:rFonts w:ascii="Times New Roman" w:hAnsi="Times New Roman"/>
          <w:b/>
          <w:i/>
          <w:noProof/>
          <w:sz w:val="24"/>
        </w:rPr>
        <w:t xml:space="preserve">Νόμιμη μετανάστευση και ένταξη </w:t>
      </w:r>
    </w:p>
    <w:p w:rsidR="00835C9C" w:rsidRDefault="00835C9C">
      <w:pPr>
        <w:pStyle w:val="ListParagraph"/>
        <w:ind w:left="426"/>
        <w:jc w:val="both"/>
        <w:rPr>
          <w:rFonts w:ascii="Times New Roman" w:hAnsi="Times New Roman"/>
          <w:noProof/>
          <w:color w:val="000000"/>
          <w:sz w:val="24"/>
          <w:szCs w:val="24"/>
        </w:rPr>
      </w:pPr>
    </w:p>
    <w:p w:rsidR="00835C9C" w:rsidRDefault="003F26D7">
      <w:pPr>
        <w:jc w:val="both"/>
        <w:rPr>
          <w:rFonts w:ascii="Times New Roman" w:hAnsi="Times New Roman"/>
          <w:noProof/>
          <w:color w:val="000000"/>
          <w:sz w:val="24"/>
          <w:szCs w:val="24"/>
        </w:rPr>
      </w:pPr>
      <w:r>
        <w:rPr>
          <w:rFonts w:ascii="Times New Roman" w:hAnsi="Times New Roman"/>
          <w:noProof/>
          <w:color w:val="000000"/>
          <w:sz w:val="24"/>
        </w:rPr>
        <w:t xml:space="preserve">Οι νόμιμες οδοί αποτελούν ουσιώδες στοιχείο της διαχείρισης της μετανάστευσης από την ΕΕ, ως αντικίνητρο για τη χρήση παράτυπων οδών, και ως απόδειξη της δέσμευσης της ΕΕ για γνήσιες μακροπρόθεσμες εταιρικές σχέσεις. Είναι επίσης απαραίτητες προκειμένου η </w:t>
      </w:r>
      <w:r>
        <w:rPr>
          <w:rFonts w:ascii="Times New Roman" w:hAnsi="Times New Roman"/>
          <w:noProof/>
          <w:color w:val="000000"/>
          <w:sz w:val="24"/>
        </w:rPr>
        <w:t>ΕΕ να είναι σε θέση να ανταποκριθεί στις τρέχουσες και μελλοντικές ανάγκες για δεξιότητες. Η νόμιμη μετανάστευση πραγματοποιείται εντός ενός άρτια ανεπτυγμένου νομικού πλαισίου σε επίπεδο ΕΕ όσον αφορά τις συνθήκες εισδοχής, τις διαδικασίες και τα δικαιώμα</w:t>
      </w:r>
      <w:r>
        <w:rPr>
          <w:rFonts w:ascii="Times New Roman" w:hAnsi="Times New Roman"/>
          <w:noProof/>
          <w:color w:val="000000"/>
          <w:sz w:val="24"/>
        </w:rPr>
        <w:t>τα των υπηκόων τρίτων χωρών, όπου αποτελεί αρμοδιότητα των κρατών μελών η απόφαση σχετικά με τους αριθμούς των υπηκόων τρίτων χωρών που δέχονται για οικονομικούς σκοπούς. Ωστόσο, η σημαντικότερη πρόταση στον τομέα αυτόν, η οποία αφορά την αναθεώρηση της οδ</w:t>
      </w:r>
      <w:r>
        <w:rPr>
          <w:rFonts w:ascii="Times New Roman" w:hAnsi="Times New Roman"/>
          <w:noProof/>
          <w:color w:val="000000"/>
          <w:sz w:val="24"/>
        </w:rPr>
        <w:t xml:space="preserve">ηγίας για την μπλε κάρτα, βρίσκεται επί του παρόντος σε αδιέξοδο. Η Επιτροπή θα παρουσιάσει προσεχώς τα αποτελέσματα μιας συνολικής αξιολόγησης («ελέγχου καταλληλότητας») του κανονιστικού πλαισίου της νόμιμης μετανάστευσης, για περαιτέρω διαβούλευση. </w:t>
      </w:r>
    </w:p>
    <w:p w:rsidR="00835C9C" w:rsidRDefault="00835C9C">
      <w:pPr>
        <w:jc w:val="both"/>
        <w:rPr>
          <w:rFonts w:ascii="Times New Roman" w:hAnsi="Times New Roman"/>
          <w:noProof/>
          <w:color w:val="000000"/>
          <w:sz w:val="24"/>
          <w:szCs w:val="24"/>
        </w:rPr>
      </w:pPr>
    </w:p>
    <w:p w:rsidR="00835C9C" w:rsidRDefault="003F26D7">
      <w:pPr>
        <w:jc w:val="both"/>
        <w:rPr>
          <w:rFonts w:ascii="Times New Roman" w:hAnsi="Times New Roman"/>
          <w:noProof/>
          <w:color w:val="000000"/>
          <w:sz w:val="24"/>
          <w:szCs w:val="24"/>
        </w:rPr>
      </w:pPr>
      <w:r>
        <w:rPr>
          <w:rFonts w:ascii="Times New Roman" w:hAnsi="Times New Roman"/>
          <w:noProof/>
          <w:color w:val="000000"/>
          <w:sz w:val="24"/>
          <w:szCs w:val="24"/>
        </w:rPr>
        <w:t>Εντ</w:t>
      </w:r>
      <w:r>
        <w:rPr>
          <w:rFonts w:ascii="Times New Roman" w:hAnsi="Times New Roman"/>
          <w:noProof/>
          <w:color w:val="000000"/>
          <w:sz w:val="24"/>
          <w:szCs w:val="24"/>
        </w:rPr>
        <w:t>ωμεταξύ, διάφορα πιλοτικά έργα σχετικά με τη μετανάστευση εργατικού δυναμικού βρίσκονται σε εξέλιξη ή στο στάδιο της προετοιμασίας. Αποτελούν σημαντικό στοιχείο στη χάραξη της πορείας προς μια νέα προσέγγιση για τη νόμιμη μετανάστευση. Στα εν λόγω πιλοτικά</w:t>
      </w:r>
      <w:r>
        <w:rPr>
          <w:rFonts w:ascii="Times New Roman" w:hAnsi="Times New Roman"/>
          <w:noProof/>
          <w:color w:val="000000"/>
          <w:sz w:val="24"/>
          <w:szCs w:val="24"/>
        </w:rPr>
        <w:t xml:space="preserve"> έργα μπορούν να δοκιμαστούν και να εφαρμοστούν νέες δομές και προσεγγίσεις για την αποτελεσματικότερη διαχείριση της νόμιμης μετανάστευσης με τις βασικές χώρες εταίρους. Έργα στα οποία συμμετέχουν το Βέλγιο και η Λιθουανία, το Μαρόκο και η Νιγηρία συνδυάζ</w:t>
      </w:r>
      <w:r>
        <w:rPr>
          <w:rFonts w:ascii="Times New Roman" w:hAnsi="Times New Roman"/>
          <w:noProof/>
          <w:color w:val="000000"/>
          <w:sz w:val="24"/>
          <w:szCs w:val="24"/>
        </w:rPr>
        <w:t>ουν την αντιμετώπιση των ελλείψεων δεξιοτήτων στον τομέα ΤΠ με πιθανή επανένταξη στο τέλος του έργου. Περαιτέρω προτάσεις έργων από την Ισπανία και τη Γαλλία σε συνεργασία με χώρες της Βόρειας Αφρικής βρίσκονται στο στάδιο της αξιολόγησης. Τα ειδικά αυτά έ</w:t>
      </w:r>
      <w:r>
        <w:rPr>
          <w:rFonts w:ascii="Times New Roman" w:hAnsi="Times New Roman"/>
          <w:noProof/>
          <w:color w:val="000000"/>
          <w:sz w:val="24"/>
          <w:szCs w:val="24"/>
        </w:rPr>
        <w:t xml:space="preserve">ργα </w:t>
      </w:r>
      <w:r>
        <w:rPr>
          <w:rFonts w:ascii="Times New Roman" w:hAnsi="Times New Roman"/>
          <w:noProof/>
          <w:sz w:val="24"/>
          <w:szCs w:val="24"/>
        </w:rPr>
        <w:t>έρχονται να προστεθούν σε ένα περιφερειακό πρόγραμμα για τη νόμιμη μετανάστευση στο οποίο η Γερμανία συμμετέχει σε προγράμματα κινητικότητας με επιλεγμένες χώρες της Βόρειας Αφρικής και το οποίο εγκρίθηκε τον Δεκέμβριο του 2018.</w:t>
      </w:r>
    </w:p>
    <w:p w:rsidR="00835C9C" w:rsidRDefault="00835C9C">
      <w:pPr>
        <w:jc w:val="both"/>
        <w:rPr>
          <w:rFonts w:ascii="Times New Roman" w:hAnsi="Times New Roman"/>
          <w:noProof/>
          <w:color w:val="000000"/>
          <w:sz w:val="24"/>
          <w:szCs w:val="24"/>
        </w:rPr>
      </w:pPr>
    </w:p>
    <w:p w:rsidR="00835C9C" w:rsidRDefault="003F26D7">
      <w:pPr>
        <w:jc w:val="both"/>
        <w:rPr>
          <w:rFonts w:ascii="Times New Roman" w:hAnsi="Times New Roman"/>
          <w:noProof/>
          <w:color w:val="000000"/>
          <w:sz w:val="24"/>
          <w:szCs w:val="24"/>
        </w:rPr>
      </w:pPr>
      <w:r>
        <w:rPr>
          <w:rFonts w:ascii="Times New Roman" w:hAnsi="Times New Roman"/>
          <w:noProof/>
          <w:color w:val="000000"/>
          <w:sz w:val="24"/>
        </w:rPr>
        <w:t>Η ένταξη αποτελεί κομβ</w:t>
      </w:r>
      <w:r>
        <w:rPr>
          <w:rFonts w:ascii="Times New Roman" w:hAnsi="Times New Roman"/>
          <w:noProof/>
          <w:color w:val="000000"/>
          <w:sz w:val="24"/>
        </w:rPr>
        <w:t>ικό στάδιο στη διαδικασία της μετανάστευσης, τόσο για τη διασφάλιση της χρήσης και της ανάπτυξης των δεξιοτήτων και των ικανοτήτων όσων έχουν δικαίωμα παραμονής προς όφελος του συνόλου, όσο και για τη διαμόρφωση συνεκτικών κοινωνιών χωρίς αποκλεισμούς. Συν</w:t>
      </w:r>
      <w:r>
        <w:rPr>
          <w:rFonts w:ascii="Times New Roman" w:hAnsi="Times New Roman"/>
          <w:noProof/>
          <w:color w:val="000000"/>
          <w:sz w:val="24"/>
        </w:rPr>
        <w:t>επώς, η επιτυχής ένταξη των νομίμως διαμενόντων υπηκόων τρίτων χωρών είναι κρίσιμης σημασίας για να λειτουργήσει θετικά η μετανάστευση τόσο σε οικονομικό όσο και σε κοινωνικό επίπεδο – δεδομένων των αποκλίσεων ως προς τα αποτελέσματα μεταξύ των υπηκόων τρί</w:t>
      </w:r>
      <w:r>
        <w:rPr>
          <w:rFonts w:ascii="Times New Roman" w:hAnsi="Times New Roman"/>
          <w:noProof/>
          <w:color w:val="000000"/>
          <w:sz w:val="24"/>
        </w:rPr>
        <w:t xml:space="preserve">των χωρών και των πολιτών της ΕΕ από άποψη απασχόλησης, φτώχειας και πρόσβασης σε βασικές υπηρεσίες όπως η εκπαίδευση και η υγειονομική περίθαλψη. Η στήριξη της </w:t>
      </w:r>
      <w:r>
        <w:rPr>
          <w:rFonts w:ascii="Times New Roman" w:hAnsi="Times New Roman"/>
          <w:noProof/>
          <w:sz w:val="24"/>
        </w:rPr>
        <w:t>ένταξης των νομίμως διαμενόντων υπηκόων τρίτων χωρών και των ατόμων που προέρχονται από οικογέν</w:t>
      </w:r>
      <w:r>
        <w:rPr>
          <w:rFonts w:ascii="Times New Roman" w:hAnsi="Times New Roman"/>
          <w:noProof/>
          <w:sz w:val="24"/>
        </w:rPr>
        <w:t>ειες μεταναστών αποτελεί κεντρικό σημείο του προτεινόμενου πολυετούς δημοσιονομικού πλαισίου για την περίοδο 2021-2027</w:t>
      </w:r>
      <w:r>
        <w:rPr>
          <w:rStyle w:val="FootnoteReference"/>
          <w:rFonts w:ascii="Times New Roman" w:hAnsi="Times New Roman"/>
          <w:noProof/>
          <w:sz w:val="24"/>
        </w:rPr>
        <w:footnoteReference w:id="46"/>
      </w:r>
      <w:r>
        <w:rPr>
          <w:rFonts w:ascii="Times New Roman" w:hAnsi="Times New Roman"/>
          <w:noProof/>
          <w:sz w:val="24"/>
        </w:rPr>
        <w:t>. Μεταξύ των δράσεων που επικεντρώνονται γενικά στα πρώτα στάδια της ένταξης περιλαμβάνεται η βασική γλωσσική εκπαίδευση, η αγωγή του πολ</w:t>
      </w:r>
      <w:r>
        <w:rPr>
          <w:rFonts w:ascii="Times New Roman" w:hAnsi="Times New Roman"/>
          <w:noProof/>
          <w:sz w:val="24"/>
        </w:rPr>
        <w:t>ίτη και τα συμβουλευτικά κέντρα μίας στάσης</w:t>
      </w:r>
      <w:r>
        <w:rPr>
          <w:rStyle w:val="FootnoteReference"/>
          <w:rFonts w:ascii="Times New Roman" w:hAnsi="Times New Roman"/>
          <w:noProof/>
          <w:sz w:val="24"/>
        </w:rPr>
        <w:footnoteReference w:id="47"/>
      </w:r>
      <w:r>
        <w:rPr>
          <w:noProof/>
        </w:rPr>
        <w:t>.</w:t>
      </w:r>
      <w:r>
        <w:rPr>
          <w:rFonts w:ascii="Times New Roman" w:hAnsi="Times New Roman"/>
          <w:noProof/>
          <w:sz w:val="24"/>
        </w:rPr>
        <w:t xml:space="preserve"> Άλλα είδη μέτρων θα καλύπτουν την πιο συστηματική ένταξη στην αγορά εργασίας</w:t>
      </w:r>
      <w:r>
        <w:rPr>
          <w:rStyle w:val="FootnoteReference"/>
          <w:rFonts w:ascii="Times New Roman" w:hAnsi="Times New Roman"/>
          <w:noProof/>
          <w:sz w:val="24"/>
        </w:rPr>
        <w:footnoteReference w:id="48"/>
      </w:r>
      <w:r>
        <w:rPr>
          <w:rFonts w:ascii="Times New Roman" w:hAnsi="Times New Roman"/>
          <w:noProof/>
          <w:sz w:val="24"/>
        </w:rPr>
        <w:t xml:space="preserve"> και την κοινωνική ένταξη των υπηκόων τρίτων χωρών και των ατόμων που προέρχονται από οικογένειες μεταναστών</w:t>
      </w:r>
      <w:r>
        <w:rPr>
          <w:rStyle w:val="FootnoteReference"/>
          <w:rFonts w:ascii="Times New Roman" w:hAnsi="Times New Roman"/>
          <w:noProof/>
          <w:sz w:val="24"/>
        </w:rPr>
        <w:footnoteReference w:id="49"/>
      </w:r>
      <w:r>
        <w:rPr>
          <w:noProof/>
        </w:rPr>
        <w:t>.</w:t>
      </w:r>
    </w:p>
    <w:p w:rsidR="00835C9C" w:rsidRDefault="00835C9C">
      <w:pPr>
        <w:jc w:val="both"/>
        <w:rPr>
          <w:rFonts w:ascii="Times New Roman" w:hAnsi="Times New Roman"/>
          <w:noProof/>
          <w:color w:val="000000"/>
          <w:sz w:val="24"/>
          <w:szCs w:val="24"/>
        </w:rPr>
      </w:pPr>
    </w:p>
    <w:p w:rsidR="00835C9C" w:rsidRDefault="003F26D7">
      <w:pPr>
        <w:jc w:val="both"/>
        <w:rPr>
          <w:rFonts w:ascii="Times New Roman" w:hAnsi="Times New Roman"/>
          <w:noProof/>
          <w:color w:val="000000"/>
          <w:sz w:val="24"/>
          <w:szCs w:val="24"/>
        </w:rPr>
      </w:pPr>
      <w:r>
        <w:rPr>
          <w:rFonts w:ascii="Times New Roman" w:hAnsi="Times New Roman"/>
          <w:noProof/>
          <w:color w:val="000000"/>
          <w:sz w:val="24"/>
        </w:rPr>
        <w:t>Μια άλλη σημαντική πτ</w:t>
      </w:r>
      <w:r>
        <w:rPr>
          <w:rFonts w:ascii="Times New Roman" w:hAnsi="Times New Roman"/>
          <w:noProof/>
          <w:color w:val="000000"/>
          <w:sz w:val="24"/>
        </w:rPr>
        <w:t>υχή είναι η πρόληψη και η καταπολέμηση της εργασιακής εκμετάλλευσης, που λειτουργεί επίσης ως παράγοντας έλξης για την παράτυπη μετανάστευση. Η νομοθεσία της ΕΕ απαγορεύει την απασχόληση παράτυπα διαμενόντων υπηκόων τρίτων χωρών, συμπεριλαμβανομένων όσων α</w:t>
      </w:r>
      <w:r>
        <w:rPr>
          <w:rFonts w:ascii="Times New Roman" w:hAnsi="Times New Roman"/>
          <w:noProof/>
          <w:color w:val="000000"/>
          <w:sz w:val="24"/>
        </w:rPr>
        <w:t>πασχολούνται υπό εργασιακές συνθήκες εκμετάλλευσης, και απαιτεί την τήρηση ελάχιστων προτύπων για την πρόληψη, τον εντοπισμό και την τιμωρία των παραβάσεων.</w:t>
      </w:r>
    </w:p>
    <w:p w:rsidR="00835C9C" w:rsidRDefault="00835C9C">
      <w:pPr>
        <w:jc w:val="both"/>
        <w:rPr>
          <w:rFonts w:ascii="Times New Roman" w:hAnsi="Times New Roman"/>
          <w:noProof/>
          <w:color w:val="000000"/>
          <w:sz w:val="24"/>
          <w:szCs w:val="24"/>
        </w:rPr>
      </w:pPr>
    </w:p>
    <w:p w:rsidR="00835C9C" w:rsidRDefault="00835C9C">
      <w:pPr>
        <w:jc w:val="both"/>
        <w:rPr>
          <w:rFonts w:ascii="Times New Roman" w:hAnsi="Times New Roman"/>
          <w:noProof/>
          <w:color w:val="000000"/>
          <w:sz w:val="24"/>
          <w:szCs w:val="24"/>
        </w:rPr>
      </w:pPr>
    </w:p>
    <w:tbl>
      <w:tblPr>
        <w:tblStyle w:val="TableGrid"/>
        <w:tblW w:w="0" w:type="auto"/>
        <w:tblLook w:val="04A0" w:firstRow="1" w:lastRow="0" w:firstColumn="1" w:lastColumn="0" w:noHBand="0" w:noVBand="1"/>
      </w:tblPr>
      <w:tblGrid>
        <w:gridCol w:w="9286"/>
      </w:tblGrid>
      <w:tr w:rsidR="00835C9C">
        <w:tc>
          <w:tcPr>
            <w:tcW w:w="9286" w:type="dxa"/>
            <w:shd w:val="clear" w:color="auto" w:fill="1F497D" w:themeFill="text2"/>
          </w:tcPr>
          <w:p w:rsidR="00835C9C" w:rsidRDefault="003F26D7">
            <w:pPr>
              <w:shd w:val="clear" w:color="auto" w:fill="1F497D" w:themeFill="text2"/>
              <w:spacing w:after="120"/>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Βασικές επόμενες ενέργειες</w:t>
            </w:r>
          </w:p>
        </w:tc>
      </w:tr>
      <w:tr w:rsidR="00835C9C">
        <w:tc>
          <w:tcPr>
            <w:tcW w:w="9286" w:type="dxa"/>
            <w:shd w:val="clear" w:color="auto" w:fill="C6D9F1" w:themeFill="text2" w:themeFillTint="33"/>
          </w:tcPr>
          <w:p w:rsidR="00835C9C" w:rsidRDefault="003F26D7">
            <w:pPr>
              <w:numPr>
                <w:ilvl w:val="0"/>
                <w:numId w:val="68"/>
              </w:numPr>
              <w:ind w:left="360"/>
              <w:contextualSpacing/>
              <w:jc w:val="both"/>
              <w:rPr>
                <w:rFonts w:ascii="Times New Roman" w:hAnsi="Times New Roman"/>
                <w:noProof/>
                <w:sz w:val="24"/>
                <w:szCs w:val="24"/>
              </w:rPr>
            </w:pPr>
            <w:r>
              <w:rPr>
                <w:rFonts w:ascii="Times New Roman" w:hAnsi="Times New Roman"/>
                <w:noProof/>
                <w:sz w:val="24"/>
              </w:rPr>
              <w:t>Η Επιτροπή θα ολοκληρώσει τη συνολική αξιολόγηση («</w:t>
            </w:r>
            <w:r>
              <w:rPr>
                <w:rFonts w:ascii="Times New Roman" w:hAnsi="Times New Roman"/>
                <w:b/>
                <w:i/>
                <w:noProof/>
                <w:sz w:val="24"/>
              </w:rPr>
              <w:t>έλεγχο καταλληλότη</w:t>
            </w:r>
            <w:r>
              <w:rPr>
                <w:rFonts w:ascii="Times New Roman" w:hAnsi="Times New Roman"/>
                <w:b/>
                <w:i/>
                <w:noProof/>
                <w:sz w:val="24"/>
              </w:rPr>
              <w:t>τας</w:t>
            </w:r>
            <w:r>
              <w:rPr>
                <w:rFonts w:ascii="Times New Roman" w:hAnsi="Times New Roman"/>
                <w:noProof/>
                <w:sz w:val="24"/>
              </w:rPr>
              <w:t>») του υφιστάμενου κανονιστικού πλαισίου της νόμιμης μετανάστευσης και θα δρομολογήσει διαβούλευση με ενδιαφερόμενα μέρη σχετικά με τα αποτελέσματά της.</w:t>
            </w:r>
          </w:p>
          <w:p w:rsidR="00835C9C" w:rsidRDefault="003F26D7">
            <w:pPr>
              <w:numPr>
                <w:ilvl w:val="0"/>
                <w:numId w:val="68"/>
              </w:numPr>
              <w:ind w:left="360"/>
              <w:contextualSpacing/>
              <w:jc w:val="both"/>
              <w:rPr>
                <w:rFonts w:ascii="Times New Roman" w:hAnsi="Times New Roman"/>
                <w:noProof/>
                <w:sz w:val="24"/>
                <w:szCs w:val="24"/>
              </w:rPr>
            </w:pPr>
            <w:r>
              <w:rPr>
                <w:rFonts w:ascii="Times New Roman" w:hAnsi="Times New Roman"/>
                <w:noProof/>
                <w:sz w:val="24"/>
              </w:rPr>
              <w:t xml:space="preserve">Τα κράτη μέλη με τη στήριξη της ΕΕ θα πρέπει να ενισχύσουν τα </w:t>
            </w:r>
            <w:r>
              <w:rPr>
                <w:rFonts w:ascii="Times New Roman" w:hAnsi="Times New Roman"/>
                <w:b/>
                <w:i/>
                <w:noProof/>
                <w:sz w:val="24"/>
              </w:rPr>
              <w:t>πιλοτικά έργα για τη νόμιμη μετανάστευ</w:t>
            </w:r>
            <w:r>
              <w:rPr>
                <w:rFonts w:ascii="Times New Roman" w:hAnsi="Times New Roman"/>
                <w:b/>
                <w:i/>
                <w:noProof/>
                <w:sz w:val="24"/>
              </w:rPr>
              <w:t>ση</w:t>
            </w:r>
            <w:r>
              <w:rPr>
                <w:rFonts w:ascii="Times New Roman" w:hAnsi="Times New Roman"/>
                <w:noProof/>
                <w:sz w:val="24"/>
              </w:rPr>
              <w:t xml:space="preserve"> μέσω της παροχής αυξημένης στήριξης για νέα έργα και μέσω της δημιουργίας συνεργειών μεταξύ υφιστάμενων έργων των κρατών μελών. </w:t>
            </w:r>
          </w:p>
          <w:p w:rsidR="00835C9C" w:rsidRDefault="003F26D7">
            <w:pPr>
              <w:numPr>
                <w:ilvl w:val="0"/>
                <w:numId w:val="68"/>
              </w:numPr>
              <w:ind w:left="360"/>
              <w:contextualSpacing/>
              <w:jc w:val="both"/>
              <w:rPr>
                <w:rFonts w:ascii="Times New Roman" w:hAnsi="Times New Roman"/>
                <w:noProof/>
                <w:sz w:val="24"/>
                <w:szCs w:val="24"/>
              </w:rPr>
            </w:pPr>
            <w:r>
              <w:rPr>
                <w:rFonts w:ascii="Times New Roman" w:hAnsi="Times New Roman"/>
                <w:noProof/>
                <w:sz w:val="24"/>
              </w:rPr>
              <w:t xml:space="preserve">Το Ευρωπαϊκό Κοινοβούλιο και το Συμβούλιο θα πρέπει να εξασφαλίσουν υποστήριξη για </w:t>
            </w:r>
            <w:r>
              <w:rPr>
                <w:rFonts w:ascii="Times New Roman" w:hAnsi="Times New Roman"/>
                <w:b/>
                <w:i/>
                <w:noProof/>
                <w:sz w:val="24"/>
              </w:rPr>
              <w:t xml:space="preserve">μέτρα ένταξης στο επόμενο πολυετές </w:t>
            </w:r>
            <w:r>
              <w:rPr>
                <w:rFonts w:ascii="Times New Roman" w:hAnsi="Times New Roman"/>
                <w:b/>
                <w:i/>
                <w:noProof/>
                <w:sz w:val="24"/>
              </w:rPr>
              <w:t>δημοσιονομικό πλαίσιο</w:t>
            </w:r>
            <w:r>
              <w:rPr>
                <w:rFonts w:ascii="Times New Roman" w:hAnsi="Times New Roman"/>
                <w:noProof/>
                <w:sz w:val="24"/>
              </w:rPr>
              <w:t xml:space="preserve">. </w:t>
            </w:r>
          </w:p>
          <w:p w:rsidR="00835C9C" w:rsidRDefault="003F26D7">
            <w:pPr>
              <w:numPr>
                <w:ilvl w:val="0"/>
                <w:numId w:val="68"/>
              </w:numPr>
              <w:ind w:left="360"/>
              <w:contextualSpacing/>
              <w:jc w:val="both"/>
              <w:rPr>
                <w:rFonts w:ascii="Times New Roman" w:eastAsiaTheme="minorHAnsi" w:hAnsi="Times New Roman"/>
                <w:noProof/>
                <w:color w:val="000000"/>
                <w:sz w:val="24"/>
                <w:szCs w:val="24"/>
              </w:rPr>
            </w:pPr>
            <w:r>
              <w:rPr>
                <w:rFonts w:ascii="Times New Roman" w:hAnsi="Times New Roman"/>
                <w:noProof/>
                <w:sz w:val="24"/>
              </w:rPr>
              <w:t xml:space="preserve">Η ΕΕ θα πρέπει να αξιοποιήσει την ευκαιρία που προσφέρουν τα νέα προγράμματα χρηματοδότησης για τη βελτίωση του συντονισμού, την αντιστοίχιση των δεξιοτήτων και την καλύτερη παρακολούθηση των </w:t>
            </w:r>
            <w:r>
              <w:rPr>
                <w:rFonts w:ascii="Times New Roman" w:hAnsi="Times New Roman"/>
                <w:b/>
                <w:i/>
                <w:noProof/>
                <w:sz w:val="24"/>
              </w:rPr>
              <w:t>μέτρων ένταξης</w:t>
            </w:r>
            <w:r>
              <w:rPr>
                <w:rFonts w:ascii="Times New Roman" w:hAnsi="Times New Roman"/>
                <w:noProof/>
                <w:sz w:val="24"/>
              </w:rPr>
              <w:t xml:space="preserve"> που υλοποιούνται σε όλα τ</w:t>
            </w:r>
            <w:r>
              <w:rPr>
                <w:rFonts w:ascii="Times New Roman" w:hAnsi="Times New Roman"/>
                <w:noProof/>
                <w:sz w:val="24"/>
              </w:rPr>
              <w:t>α κράτη μέλη.</w:t>
            </w:r>
          </w:p>
        </w:tc>
      </w:tr>
    </w:tbl>
    <w:p w:rsidR="00835C9C" w:rsidRDefault="00835C9C">
      <w:pPr>
        <w:jc w:val="both"/>
        <w:rPr>
          <w:rFonts w:ascii="Times New Roman" w:hAnsi="Times New Roman"/>
          <w:noProof/>
          <w:color w:val="000000"/>
          <w:sz w:val="24"/>
          <w:szCs w:val="24"/>
        </w:rPr>
      </w:pPr>
    </w:p>
    <w:p w:rsidR="00835C9C" w:rsidRDefault="00835C9C">
      <w:pPr>
        <w:jc w:val="both"/>
        <w:rPr>
          <w:rFonts w:ascii="Times New Roman" w:hAnsi="Times New Roman"/>
          <w:noProof/>
          <w:color w:val="000000"/>
          <w:sz w:val="24"/>
          <w:szCs w:val="24"/>
        </w:rPr>
      </w:pPr>
    </w:p>
    <w:p w:rsidR="003F26D7" w:rsidRDefault="003F26D7">
      <w:pPr>
        <w:spacing w:after="200" w:line="276" w:lineRule="auto"/>
        <w:rPr>
          <w:rFonts w:ascii="Times New Roman" w:hAnsi="Times New Roman"/>
          <w:b/>
          <w:noProof/>
          <w:color w:val="000000"/>
          <w:sz w:val="24"/>
          <w:szCs w:val="24"/>
        </w:rPr>
      </w:pPr>
      <w:r>
        <w:rPr>
          <w:rFonts w:ascii="Times New Roman" w:hAnsi="Times New Roman"/>
          <w:b/>
          <w:noProof/>
          <w:color w:val="000000"/>
          <w:sz w:val="24"/>
          <w:szCs w:val="24"/>
        </w:rPr>
        <w:br w:type="page"/>
      </w:r>
    </w:p>
    <w:p w:rsidR="00835C9C" w:rsidRDefault="00835C9C">
      <w:pPr>
        <w:jc w:val="both"/>
        <w:rPr>
          <w:rFonts w:ascii="Times New Roman" w:hAnsi="Times New Roman"/>
          <w:b/>
          <w:noProof/>
          <w:color w:val="000000"/>
          <w:sz w:val="24"/>
          <w:szCs w:val="24"/>
        </w:rPr>
      </w:pPr>
      <w:bookmarkStart w:id="1" w:name="_GoBack"/>
      <w:bookmarkEnd w:id="1"/>
    </w:p>
    <w:p w:rsidR="00835C9C" w:rsidRDefault="003F26D7">
      <w:pPr>
        <w:pStyle w:val="ListParagraph"/>
        <w:numPr>
          <w:ilvl w:val="0"/>
          <w:numId w:val="2"/>
        </w:numPr>
        <w:jc w:val="both"/>
        <w:rPr>
          <w:rFonts w:ascii="Times New Roman" w:hAnsi="Times New Roman"/>
          <w:b/>
          <w:noProof/>
          <w:sz w:val="24"/>
          <w:szCs w:val="24"/>
        </w:rPr>
      </w:pPr>
      <w:r>
        <w:rPr>
          <w:rFonts w:ascii="Times New Roman" w:hAnsi="Times New Roman"/>
          <w:b/>
          <w:noProof/>
          <w:sz w:val="24"/>
        </w:rPr>
        <w:t>ΣΥΜΠΕΡΑΣΜΑ</w:t>
      </w:r>
    </w:p>
    <w:p w:rsidR="00835C9C" w:rsidRDefault="00835C9C">
      <w:pPr>
        <w:jc w:val="both"/>
        <w:rPr>
          <w:rFonts w:ascii="Times New Roman" w:hAnsi="Times New Roman"/>
          <w:noProof/>
          <w:sz w:val="24"/>
          <w:szCs w:val="24"/>
        </w:rPr>
      </w:pPr>
    </w:p>
    <w:p w:rsidR="00835C9C" w:rsidRDefault="003F26D7">
      <w:pPr>
        <w:jc w:val="both"/>
        <w:rPr>
          <w:rFonts w:ascii="Times New Roman" w:hAnsi="Times New Roman"/>
          <w:noProof/>
          <w:sz w:val="24"/>
        </w:rPr>
      </w:pPr>
      <w:r>
        <w:rPr>
          <w:rFonts w:ascii="Times New Roman" w:hAnsi="Times New Roman"/>
          <w:noProof/>
          <w:sz w:val="24"/>
        </w:rPr>
        <w:t xml:space="preserve">Η σταθερή αύξηση των μεταναστευτικών πιέσεων και ο κίνδυνος αστάθειας πέραν των συνόρων της ΕΕ θα έχουν ως αποτέλεσμα να παραμείνει η μετανάστευση στην κορυφή των προκλήσεων που αντιμετωπίζει η ΕΕ. Για τον λόγο αυτόν, είναι </w:t>
      </w:r>
      <w:r>
        <w:rPr>
          <w:rFonts w:ascii="Times New Roman" w:hAnsi="Times New Roman"/>
          <w:noProof/>
          <w:sz w:val="24"/>
        </w:rPr>
        <w:t xml:space="preserve">σημαντικό η ΕΕ να έχει στη διάθεσή της τα εργαλεία που θα χρειαστεί κατά τα προσεχή έτη: μια εις βάθος εταιρική σχέση με τις χώρες καταγωγής και διέλευσης, τους απαραίτητους οικονομικούς πόρους, καθώς και νομοθετικό πλαίσιο και επιχειρησιακή ικανότητα που </w:t>
      </w:r>
      <w:r>
        <w:rPr>
          <w:rFonts w:ascii="Times New Roman" w:hAnsi="Times New Roman"/>
          <w:noProof/>
          <w:sz w:val="24"/>
        </w:rPr>
        <w:t xml:space="preserve">αντικατοπτρίζουν ορθά την ισορροπία μεταξύ αλληλεγγύης και ευθύνης, η οποία πρέπει να βρίσκεται στο επίκεντρο της ολοκληρωμένης προσέγγισης της ΕΕ. Κατά την άποψη της Επιτροπής, η έγκριση των προτάσεών της για μεταρρύθμιση του κοινού ευρωπαϊκού συστήματος </w:t>
      </w:r>
      <w:r>
        <w:rPr>
          <w:rFonts w:ascii="Times New Roman" w:hAnsi="Times New Roman"/>
          <w:noProof/>
          <w:sz w:val="24"/>
        </w:rPr>
        <w:t>ασύλου και για αναβάθμιση της Ευρωπαϊκής Συνοριοφυλακής και Ακτοφυλακής, καθώς και η διασφάλιση επαρκούς χρηματοδότησης στο επόμενο πολυετές δημοσιονομικό πλαίσιο –με παράλληλη διατήρηση του επιπέδου φιλοδοξίας– αποτελεί τον κατάλληλο τρόπο να προχωρήσει η</w:t>
      </w:r>
      <w:r>
        <w:rPr>
          <w:rFonts w:ascii="Times New Roman" w:hAnsi="Times New Roman"/>
          <w:noProof/>
          <w:sz w:val="24"/>
        </w:rPr>
        <w:t xml:space="preserve"> ΕΕ εάν θέλει να φανεί αντάξια της πρόκλησης που αντιμετωπίζει.</w:t>
      </w:r>
    </w:p>
    <w:p w:rsidR="00835C9C" w:rsidRDefault="00835C9C">
      <w:pPr>
        <w:jc w:val="both"/>
        <w:rPr>
          <w:rFonts w:ascii="Times New Roman" w:hAnsi="Times New Roman"/>
          <w:noProof/>
          <w:sz w:val="24"/>
        </w:rPr>
      </w:pPr>
    </w:p>
    <w:p w:rsidR="00835C9C" w:rsidRDefault="003F26D7">
      <w:pPr>
        <w:pStyle w:val="ListParagraph"/>
        <w:ind w:left="0"/>
        <w:jc w:val="both"/>
        <w:rPr>
          <w:rFonts w:ascii="Times New Roman" w:hAnsi="Times New Roman"/>
          <w:noProof/>
          <w:sz w:val="24"/>
        </w:rPr>
      </w:pPr>
      <w:r>
        <w:rPr>
          <w:rFonts w:ascii="Times New Roman" w:hAnsi="Times New Roman"/>
          <w:noProof/>
          <w:sz w:val="24"/>
        </w:rPr>
        <w:t>Η υιοθέτηση ολοκληρωμένης προσέγγισης –η οποία να καλύπτει την ανάληψη δράσης από κοινού με εταίρους εκτός της ΕΕ–, στα εξωτερικά σύνορα και εντός της ΕΕ είναι απαραίτητη. Υπάρχει σαφής συσχέ</w:t>
      </w:r>
      <w:r>
        <w:rPr>
          <w:rFonts w:ascii="Times New Roman" w:hAnsi="Times New Roman"/>
          <w:noProof/>
          <w:sz w:val="24"/>
        </w:rPr>
        <w:t>τιση μεταξύ των ισχυρών πολιτικών για τα σύνορα και τη μετανάστευση και της ικανότητάς μας να διατηρήσουμε τα οφέλη του χώρου Σένγκεν. Επί του παρόντος, έξι κράτη Σένγκεν εφαρμόζουν ελέγχους στα εσωτερικά σύνορα</w:t>
      </w:r>
      <w:r>
        <w:rPr>
          <w:rStyle w:val="FootnoteReference"/>
          <w:rFonts w:ascii="Times New Roman" w:hAnsi="Times New Roman"/>
          <w:noProof/>
          <w:sz w:val="24"/>
        </w:rPr>
        <w:footnoteReference w:id="50"/>
      </w:r>
      <w:r>
        <w:rPr>
          <w:noProof/>
        </w:rPr>
        <w:t>.</w:t>
      </w:r>
      <w:r>
        <w:rPr>
          <w:rFonts w:ascii="Times New Roman" w:hAnsi="Times New Roman"/>
          <w:noProof/>
          <w:sz w:val="24"/>
        </w:rPr>
        <w:t xml:space="preserve"> Η Επιτροπή έχει παρουσιάσει τρόπους ενίσχυ</w:t>
      </w:r>
      <w:r>
        <w:rPr>
          <w:rFonts w:ascii="Times New Roman" w:hAnsi="Times New Roman"/>
          <w:noProof/>
          <w:sz w:val="24"/>
        </w:rPr>
        <w:t xml:space="preserve">σης της ασφάλειας μέσω αναλογικών αστυνομικών ελέγχων και συνεργασίας, χωρίς να απαιτούνται συνοριακοί έλεγχοι, και έχει προτείνει αλλαγές στους κανόνες σχετικά με </w:t>
      </w:r>
      <w:r>
        <w:rPr>
          <w:rFonts w:ascii="Times New Roman" w:hAnsi="Times New Roman"/>
          <w:noProof/>
          <w:color w:val="000000"/>
          <w:sz w:val="24"/>
        </w:rPr>
        <w:t>την προσωρινή επαναφορά των ελέγχων στα εσωτερικά σύνορα</w:t>
      </w:r>
      <w:r>
        <w:rPr>
          <w:rStyle w:val="FootnoteReference"/>
          <w:rFonts w:ascii="Times New Roman" w:hAnsi="Times New Roman"/>
          <w:noProof/>
          <w:sz w:val="24"/>
        </w:rPr>
        <w:footnoteReference w:id="51"/>
      </w:r>
      <w:r>
        <w:rPr>
          <w:noProof/>
        </w:rPr>
        <w:t>.</w:t>
      </w:r>
      <w:r>
        <w:rPr>
          <w:rFonts w:ascii="Times New Roman" w:hAnsi="Times New Roman"/>
          <w:noProof/>
          <w:sz w:val="24"/>
        </w:rPr>
        <w:t xml:space="preserve"> Έχοντας υπόψη όλες τις προσπάθειε</w:t>
      </w:r>
      <w:r>
        <w:rPr>
          <w:rFonts w:ascii="Times New Roman" w:hAnsi="Times New Roman"/>
          <w:noProof/>
          <w:sz w:val="24"/>
        </w:rPr>
        <w:t>ς για την ενίσχυση της διαχείρισης των εξωτερικών συνόρων, και λαμβάνοντας υπόψη τη μείωση των παράτυπων αφίξεων, είναι καιρός να προβούμε σε απολογισμό της κατάστασης με στόχο την άρση των ελέγχων στα εσωτερικά σύνορα και την αποκατάσταση της πλήρους λειτ</w:t>
      </w:r>
      <w:r>
        <w:rPr>
          <w:rFonts w:ascii="Times New Roman" w:hAnsi="Times New Roman"/>
          <w:noProof/>
          <w:sz w:val="24"/>
        </w:rPr>
        <w:t xml:space="preserve">ουργίας του χώρου Σένγκεν. </w:t>
      </w:r>
    </w:p>
    <w:p w:rsidR="00835C9C" w:rsidRDefault="00835C9C">
      <w:pPr>
        <w:jc w:val="both"/>
        <w:rPr>
          <w:rFonts w:ascii="Times New Roman" w:hAnsi="Times New Roman"/>
          <w:noProof/>
          <w:color w:val="000000"/>
          <w:sz w:val="24"/>
          <w:szCs w:val="24"/>
        </w:rPr>
      </w:pPr>
    </w:p>
    <w:p w:rsidR="00835C9C" w:rsidRDefault="003F26D7">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Τα τέσσερα έτη που έχουν περάσει από την έκδοση του ευρωπαϊκού προγράμματος δράσης για τη μετανάστευση έχουν δείξει ότι η κατάσταση απαιτεί συνεχή αποφασιστική δράση σε όλο το εύρος της ολοκληρωμένης προσέγγισης. Το δίδαγμα που</w:t>
      </w:r>
      <w:r>
        <w:rPr>
          <w:rFonts w:ascii="Times New Roman" w:hAnsi="Times New Roman"/>
          <w:noProof/>
          <w:color w:val="000000"/>
          <w:sz w:val="24"/>
        </w:rPr>
        <w:t xml:space="preserve"> αντλήθηκε είναι ότι η ενωμένη δράση και οι κοινές προσπάθειες των κρατών μελών και της ΕΕ, σε στενή συνεργασία με εταίρους εκτός ΕΕ, αποδίδει καρπούς και είναι ο μόνος τρόπος να επιτευχθεί καλύτερη διαχείριση της μετανάστευσης και να διασφαλιστεί ότι οι α</w:t>
      </w:r>
      <w:r>
        <w:rPr>
          <w:rFonts w:ascii="Times New Roman" w:hAnsi="Times New Roman"/>
          <w:noProof/>
          <w:color w:val="000000"/>
          <w:sz w:val="24"/>
        </w:rPr>
        <w:t>ξίες της ΕΕ θα εξακολουθήσουν να αποτελούν τον ακρογωνιαίο λίθο της πολιτικής μας για τη μετανάστευση. Αυτό ακριβώς προσδοκούν και οι πολίτες της ΕΕ από την Ευρωπαϊκή Ένωση.</w:t>
      </w:r>
    </w:p>
    <w:sectPr w:rsidR="00835C9C">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C9C" w:rsidRDefault="003F26D7">
      <w:r>
        <w:separator/>
      </w:r>
    </w:p>
  </w:endnote>
  <w:endnote w:type="continuationSeparator" w:id="0">
    <w:p w:rsidR="00835C9C" w:rsidRDefault="003F26D7">
      <w:r>
        <w:continuationSeparator/>
      </w:r>
    </w:p>
  </w:endnote>
  <w:endnote w:type="continuationNotice" w:id="1">
    <w:p w:rsidR="00835C9C" w:rsidRDefault="00835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9C" w:rsidRDefault="00835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9C" w:rsidRDefault="003F26D7">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9C" w:rsidRDefault="00835C9C">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9C" w:rsidRDefault="00835C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144033853"/>
      <w:docPartObj>
        <w:docPartGallery w:val="Page Numbers (Bottom of Page)"/>
        <w:docPartUnique/>
      </w:docPartObj>
    </w:sdtPr>
    <w:sdtEndPr>
      <w:rPr>
        <w:noProof/>
      </w:rPr>
    </w:sdtEndPr>
    <w:sdtContent>
      <w:p w:rsidR="00835C9C" w:rsidRDefault="003F26D7">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22</w:t>
        </w:r>
        <w:r>
          <w:rPr>
            <w:rFonts w:ascii="Times New Roman" w:hAnsi="Times New Roman"/>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9C" w:rsidRDefault="00835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C9C" w:rsidRDefault="003F26D7">
      <w:r>
        <w:separator/>
      </w:r>
    </w:p>
  </w:footnote>
  <w:footnote w:type="continuationSeparator" w:id="0">
    <w:p w:rsidR="00835C9C" w:rsidRDefault="003F26D7">
      <w:r>
        <w:continuationSeparator/>
      </w:r>
    </w:p>
  </w:footnote>
  <w:footnote w:type="continuationNotice" w:id="1">
    <w:p w:rsidR="00835C9C" w:rsidRDefault="00835C9C"/>
  </w:footnote>
  <w:footnote w:id="2">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COM(2015) 240 final της 13.5.2015.</w:t>
      </w:r>
    </w:p>
  </w:footnote>
  <w:footnote w:id="3">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Επιπλέον της στήριξης που παρέχεται στο πλαίσιο υφιστάμενων αναπτυξιακών προγραμμάτων της ΕΕ.</w:t>
      </w:r>
    </w:p>
  </w:footnote>
  <w:footnote w:id="4">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Τα κράτη μέλη υποβάλλουν επί του παρόντος τις εκθέσεις υλοποίησής τους που καλύπτουν τις δράσεις που πραγματοποιήθηκαν το 2018. Πολλοί πρόσφυγες και νόμιμοι μετ</w:t>
      </w:r>
      <w:r>
        <w:rPr>
          <w:rFonts w:ascii="Times New Roman" w:hAnsi="Times New Roman"/>
          <w:sz w:val="18"/>
        </w:rPr>
        <w:t xml:space="preserve">ανάστες έχουν επίσης επωφεληθεί από προγράμματα ένταξης στο πλαίσιο του Ευρωπαϊκού Κοινωνικού Ταμείου και του Ευρωπαϊκού Ταμείου Περιφερειακής Ανάπτυξης. </w:t>
      </w:r>
    </w:p>
  </w:footnote>
  <w:footnote w:id="5">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olor w:val="000000"/>
          <w:sz w:val="18"/>
        </w:rPr>
        <w:t>Στους αναγκαστικά εκτοπισθέντες περιλαμβάνονται πρόσφυγες και εκτοπισθέντες στο εσωτερικό της χώρας</w:t>
      </w:r>
      <w:r>
        <w:rPr>
          <w:rFonts w:ascii="Times New Roman" w:hAnsi="Times New Roman"/>
          <w:color w:val="000000"/>
          <w:sz w:val="18"/>
        </w:rPr>
        <w:t>. Στήριξη παρέχεται επίσης στις κοινότητες υποδοχής των ατόμων αυτών.</w:t>
      </w:r>
      <w:r>
        <w:rPr>
          <w:rFonts w:ascii="Times New Roman" w:hAnsi="Times New Roman"/>
          <w:sz w:val="18"/>
        </w:rPr>
        <w:t xml:space="preserve"> Η ανθρωπιστική βοήθεια της ΕΕ παρέχεται σύμφωνα με τις ανθρωπιστικές αξίες του ανθρωπισμού, της ουδετερότητας, της αµεροληψίας και της ανεξαρτησίας.</w:t>
      </w:r>
    </w:p>
  </w:footnote>
  <w:footnote w:id="6">
    <w:p w:rsidR="00835C9C" w:rsidRDefault="003F26D7">
      <w:pPr>
        <w:pStyle w:val="FootnoteText"/>
        <w:ind w:left="284" w:hanging="284"/>
      </w:pPr>
      <w:r>
        <w:rPr>
          <w:rStyle w:val="FootnoteReference"/>
          <w:rFonts w:ascii="Times New Roman" w:hAnsi="Times New Roman"/>
        </w:rPr>
        <w:footnoteRef/>
      </w:r>
      <w:r>
        <w:tab/>
      </w:r>
      <w:r>
        <w:rPr>
          <w:rFonts w:ascii="Times New Roman" w:hAnsi="Times New Roman" w:cs="Times New Roman"/>
          <w:color w:val="000000"/>
          <w:sz w:val="18"/>
          <w:szCs w:val="18"/>
        </w:rPr>
        <w:t>Στο έργο αυτό περιλαμβάνεται η χρημ</w:t>
      </w:r>
      <w:r>
        <w:rPr>
          <w:rFonts w:ascii="Times New Roman" w:hAnsi="Times New Roman" w:cs="Times New Roman"/>
          <w:color w:val="000000"/>
          <w:sz w:val="18"/>
          <w:szCs w:val="18"/>
        </w:rPr>
        <w:t xml:space="preserve">ατοδοτική στήριξη ύψους 13 δισ. EUR απευθείας από τον προϋπολογισμό της ΕΕ </w:t>
      </w:r>
      <w:r>
        <w:rPr>
          <w:rFonts w:ascii="Times New Roman" w:hAnsi="Times New Roman" w:cs="Times New Roman"/>
          <w:sz w:val="18"/>
          <w:szCs w:val="18"/>
        </w:rPr>
        <w:t>και μόνον, καθώς και η δράση στο πλαίσιο των Καταπιστευματικών Ταμείων της ΕΕ και της Διευκόλυνσης για τους Πρόσφυγες στην Τουρκία.</w:t>
      </w:r>
    </w:p>
    <w:p w:rsidR="00835C9C" w:rsidRDefault="00835C9C">
      <w:pPr>
        <w:pStyle w:val="FootnoteText"/>
      </w:pPr>
    </w:p>
  </w:footnote>
  <w:footnote w:id="7">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Όλα τα αριθμητικά στοιχεία προέρχονται από τον</w:t>
      </w:r>
      <w:r>
        <w:rPr>
          <w:rFonts w:ascii="Times New Roman" w:hAnsi="Times New Roman"/>
          <w:sz w:val="18"/>
        </w:rPr>
        <w:t xml:space="preserve"> Ευρωπαϊκό Οργανισμό Συνοριοφυλακής και Ακτοφυλακής, εκτός εάν αναφέρεται διαφορετικά.</w:t>
      </w:r>
    </w:p>
  </w:footnote>
  <w:footnote w:id="8">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Αριθμητικά στοιχεία από τις ισπανικές αρχές.</w:t>
      </w:r>
    </w:p>
  </w:footnote>
  <w:footnote w:id="9">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Στοιχεία από την Ύπατη Αρμοστεία των Ηνωμένων Εθνών για τους Πρόσφυγες (UNHCR).</w:t>
      </w:r>
    </w:p>
  </w:footnote>
  <w:footnote w:id="10">
    <w:p w:rsidR="00835C9C" w:rsidRDefault="003F26D7">
      <w:pPr>
        <w:pStyle w:val="FootnoteText"/>
        <w:ind w:left="284" w:hanging="284"/>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Από τις 21 Μαρτίου 2016, έχουν </w:t>
      </w:r>
      <w:r>
        <w:rPr>
          <w:rFonts w:ascii="Times New Roman" w:hAnsi="Times New Roman"/>
          <w:sz w:val="18"/>
        </w:rPr>
        <w:t>πραγματοποιηθεί 1 836 επιστροφές μεταναστών από την Ελλάδα προς την Τουρκία στο πλαίσιο της δήλωσης ΕΕ–Τουρκίας και 601 επιστροφές δυνάμει του διμερούς πρωτοκόλλου Ελλάδας–Τουρκίας.</w:t>
      </w:r>
    </w:p>
  </w:footnote>
  <w:footnote w:id="11">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Στοιχεία από τον Διεθνή Οργανισμό Μετανάστευσης.</w:t>
      </w:r>
    </w:p>
  </w:footnote>
  <w:footnote w:id="12">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Προκαταρκτικά δεδομέν</w:t>
      </w:r>
      <w:r>
        <w:rPr>
          <w:rFonts w:ascii="Times New Roman" w:hAnsi="Times New Roman"/>
          <w:sz w:val="18"/>
        </w:rPr>
        <w:t>α της Ευρωπαϊκής Υπηρεσίας Υποστήριξης για το Άσυλο για το 2018.</w:t>
      </w:r>
    </w:p>
  </w:footnote>
  <w:footnote w:id="13">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Η Γερμανία συνέχισε να αποτελεί την κυριότερη χώρα προορισμού, παρά τη μείωση των αιτήσεων κατά ένα πέμπτο, ενώ στη Γαλλία και την Ισπανία οι αιτήσεις αυξήθηκαν σημαντικά.</w:t>
      </w:r>
    </w:p>
  </w:footnote>
  <w:footnote w:id="14">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Ως «θετική απάν</w:t>
      </w:r>
      <w:r>
        <w:rPr>
          <w:rFonts w:ascii="Times New Roman" w:hAnsi="Times New Roman"/>
          <w:sz w:val="18"/>
        </w:rPr>
        <w:t>τηση» νοείται η ύπαρξη μίας ή περισσότερων αντιστοιχίσεων κατά τη σύγκριση μεταξύ των δεδομένων δακτυλικών αποτυπωμάτων που είναι καταχωρισμένα στην τράπεζα δεδομένων και των δεδομένων που διαβιβάζονται από ένα κράτος μέλος. Ο αριθμός των θετικών απαντήσεω</w:t>
      </w:r>
      <w:r>
        <w:rPr>
          <w:rFonts w:ascii="Times New Roman" w:hAnsi="Times New Roman"/>
          <w:sz w:val="18"/>
        </w:rPr>
        <w:t>ν δεν αντιστοιχεί στον αριθμό των ατόμων.</w:t>
      </w:r>
    </w:p>
  </w:footnote>
  <w:footnote w:id="15">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Οι χώρες στις οποίες καταγράφηκε ο υψηλότερος αριθμός παρανόμως διαμενόντων αιτούντων άσυλο που είχαν προηγουμένως καταγραφεί σε άλλο κράτος μέλος ήταν κυρίως το Βέλγιο και η Γερμανία.</w:t>
      </w:r>
    </w:p>
  </w:footnote>
  <w:footnote w:id="16">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Επιπλέον, </w:t>
      </w:r>
      <w:r>
        <w:rPr>
          <w:rFonts w:ascii="Times New Roman" w:hAnsi="Times New Roman"/>
          <w:color w:val="000000"/>
          <w:sz w:val="18"/>
        </w:rPr>
        <w:t>14,5 εκατ. EUR</w:t>
      </w:r>
      <w:r>
        <w:rPr>
          <w:rFonts w:ascii="Times New Roman" w:hAnsi="Times New Roman"/>
          <w:color w:val="000000"/>
          <w:sz w:val="18"/>
        </w:rPr>
        <w:t xml:space="preserve"> χορηγήθηκαν για τη βελτίωση της διακυβέρνησης της μετανάστευσης σε περιφερειακό επίπεδο· η στήριξη αυτή αφορά μετανάστες, επιστρέφοντες και Μαροκινούς που διαμένουν στο εξωτερικό. Το συνολικό ποσό των προγραμμάτων που βρίσκονται σε εξέλιξη ανέρχεται σε 23</w:t>
      </w:r>
      <w:r>
        <w:rPr>
          <w:rFonts w:ascii="Times New Roman" w:hAnsi="Times New Roman"/>
          <w:color w:val="000000"/>
          <w:sz w:val="18"/>
        </w:rPr>
        <w:t>2 εκατ. EUR.</w:t>
      </w:r>
    </w:p>
  </w:footnote>
  <w:footnote w:id="17">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s="Times New Roman"/>
          <w:sz w:val="18"/>
          <w:szCs w:val="18"/>
        </w:rPr>
        <w:t xml:space="preserve">Σύμφωνα με τα δεδομένα της εφαρμογής JORA της Ευρωπαϊκής Συνοριοφυλακής και Ακτοφυλακής για τη διαβίβαση πληροφοριών σχετικά με τις κοινές επιχειρήσεις (Joint Operations Reporting Application, JORA), οι μαροκινές αρχές απέτρεψαν το 2018 την </w:t>
      </w:r>
      <w:r>
        <w:rPr>
          <w:rFonts w:ascii="Times New Roman" w:hAnsi="Times New Roman" w:cs="Times New Roman"/>
          <w:sz w:val="18"/>
          <w:szCs w:val="18"/>
        </w:rPr>
        <w:t>αναχώρηση περίπου 15 000 παράτυπων μεταναστών από το Μαρόκο διά θαλάσσης. Οι μαροκινές αρχές εκτελούν επίσης προληπτικές ενέργειες στην ενδοχώρα. Το μαροκινό Υπουργείο Εσωτερικών εκτιμά ότι το 2018 αποτράπηκαν 88 761 αναχωρήσεις μεταναστών από το Μαρόκο.</w:t>
      </w:r>
    </w:p>
  </w:footnote>
  <w:footnote w:id="18">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C(2015) 7293 final της 20.10.2015.</w:t>
      </w:r>
    </w:p>
  </w:footnote>
  <w:footnote w:id="19">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olor w:val="000000"/>
          <w:sz w:val="18"/>
        </w:rPr>
        <w:t xml:space="preserve">Το πρόγραμμα αυτό συμπληρώνει υφιστάμενα χρηματοδοτούμενα από την ΕΕ προγράμματα για τη στήριξη της διακυβέρνησης της μετανάστευσης, τη διαχείριση των συνόρων, την αντιμετώπιση της λαθραίας διακίνησης ανθρώπων και των </w:t>
      </w:r>
      <w:r>
        <w:rPr>
          <w:rFonts w:ascii="Times New Roman" w:hAnsi="Times New Roman"/>
          <w:color w:val="000000"/>
          <w:sz w:val="18"/>
        </w:rPr>
        <w:t>εγκληματικών δικτύων και την καταπολέμηση της τρομοκρατίας.</w:t>
      </w:r>
    </w:p>
  </w:footnote>
  <w:footnote w:id="20">
    <w:p w:rsidR="00835C9C" w:rsidRDefault="003F26D7">
      <w:pPr>
        <w:pStyle w:val="FootnoteText"/>
        <w:ind w:left="284" w:hanging="284"/>
        <w:jc w:val="both"/>
        <w:rPr>
          <w:sz w:val="18"/>
          <w:szCs w:val="18"/>
        </w:rPr>
      </w:pPr>
      <w:r>
        <w:rPr>
          <w:rStyle w:val="FootnoteReference"/>
          <w:rFonts w:ascii="Times New Roman" w:hAnsi="Times New Roman"/>
          <w:sz w:val="18"/>
        </w:rPr>
        <w:footnoteRef/>
      </w:r>
      <w:r>
        <w:rPr>
          <w:sz w:val="18"/>
        </w:rPr>
        <w:t xml:space="preserve"> </w:t>
      </w:r>
      <w:r>
        <w:tab/>
      </w:r>
      <w:r>
        <w:rPr>
          <w:rFonts w:ascii="Times New Roman" w:hAnsi="Times New Roman"/>
          <w:sz w:val="18"/>
        </w:rPr>
        <w:t>Το θέμα αυτό θα συζητηθεί στην επόμενη συνεδρίαση της επιτροπής του Ευρωπαϊκού Μηχανισμού Γειτονίας τον Απρίλιο του 2019.</w:t>
      </w:r>
    </w:p>
  </w:footnote>
  <w:footnote w:id="21">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Εκτίμηση της Ύπατης Αρμοστείας των Ηνωμένων Εθνών για τους Πρόσφυγες </w:t>
      </w:r>
      <w:r>
        <w:rPr>
          <w:rFonts w:ascii="Times New Roman" w:hAnsi="Times New Roman"/>
          <w:sz w:val="18"/>
        </w:rPr>
        <w:t>(UNHCR) και του Διεθνούς Οργανισμού Μετανάστευσης.</w:t>
      </w:r>
    </w:p>
  </w:footnote>
  <w:footnote w:id="22">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Με μετέπειτα επανεγκατάσταση στο Βέλγιο, στη Γαλλία, στη Γερμανία, στην Ελβετία, στο Ηνωμένο Βασίλειο, στις Ηνωμένες Πολιτείες της Αμερικής, στον Καναδά, στις Κάτω Χώρες, στη Νορβηγία, στη Σουηδία και στ</w:t>
      </w:r>
      <w:r>
        <w:rPr>
          <w:rFonts w:ascii="Times New Roman" w:hAnsi="Times New Roman"/>
          <w:sz w:val="18"/>
        </w:rPr>
        <w:t>η Φινλανδία. Πρόσθετες απομακρύνσεις της UNHCR προς την Ιταλία και σε κέντρο έκτακτης διέλευσης στη Ρουμανία αυξάνουν το σύνολο στα 3 175 άτομα.</w:t>
      </w:r>
    </w:p>
  </w:footnote>
  <w:footnote w:id="23">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Στη στήριξη που παρασχέθηκε πρόσφατα περιλαμβάνεται περισσότερη διερμηνεία, αναβαθμισμένη ικανότητα υποδοχής </w:t>
      </w:r>
      <w:r>
        <w:rPr>
          <w:rFonts w:ascii="Times New Roman" w:hAnsi="Times New Roman"/>
          <w:sz w:val="18"/>
        </w:rPr>
        <w:t xml:space="preserve">και η αποστολή στρατιωτικών ιατρών, καθώς και η έγκριση του χρηματοδοτικού προγραμματισμού για το 2019 με σκοπό την πρόβλεψη κατάλληλων συνθηκών υποδοχής και τη διασφάλιση της στήριξης στην ηπειρωτική χώρα (βλ. επόμενη υποσημείωση). </w:t>
      </w:r>
    </w:p>
  </w:footnote>
  <w:footnote w:id="24">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noProof/>
          <w:sz w:val="18"/>
        </w:rPr>
        <w:t>Η πλέον πρόσφατη στή</w:t>
      </w:r>
      <w:r>
        <w:rPr>
          <w:rFonts w:ascii="Times New Roman" w:hAnsi="Times New Roman"/>
          <w:noProof/>
          <w:sz w:val="18"/>
        </w:rPr>
        <w:t>ριξη, που χορηγήθηκε τον Δεκέμβριο του 2018, περιλάμβανε 190 εκατ. EUR για τη διασφάλιση του προγράμματος Στήριξης Έκτακτης Ανάγκης για την Ένταξη και τη Στέγαση ESTIA (Emergency Support to Integration and Accommodation), το οποίο διαχειρίζεται η Ύπατη Αρμ</w:t>
      </w:r>
      <w:r>
        <w:rPr>
          <w:rFonts w:ascii="Times New Roman" w:hAnsi="Times New Roman"/>
          <w:noProof/>
          <w:sz w:val="18"/>
        </w:rPr>
        <w:t>οστεία των Ηνωμένων Εθνών για τους Πρόσφυγες (UNHCR), και 61 εκατ. EUR για τη συνέχιση του προγράμματος επιτόπιας στήριξης των εγκαταστάσεων υποδοχής στην ηπειρωτική χώρα, το οποίο διαχειρίζονται ο Διεθνής Οργανισμός Μετανάστευσης (ΔΟΜ) και το Ταμείο των Η</w:t>
      </w:r>
      <w:r>
        <w:rPr>
          <w:rFonts w:ascii="Times New Roman" w:hAnsi="Times New Roman"/>
          <w:noProof/>
          <w:sz w:val="18"/>
        </w:rPr>
        <w:t>νωμένων Εθνών για τα Παιδιά (UNICEF). Τον Μάρτιο του 2019, η ενεργοποίηση του μηχανισμού στήριξης έκτακτης ανάγκης θα λήξει. Η συνέχιση των βασικών έργων στην Ελλάδα το 2019 υποστηρίζεται από άλλες χρηματοδοτικές πηγές της ΕΕ.</w:t>
      </w:r>
    </w:p>
  </w:footnote>
  <w:footnote w:id="25">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Στις βασικές ομάδες περιλαμ</w:t>
      </w:r>
      <w:r>
        <w:rPr>
          <w:rFonts w:ascii="Times New Roman" w:hAnsi="Times New Roman"/>
          <w:sz w:val="18"/>
        </w:rPr>
        <w:t>βάνονται τα ευάλωτα άτομα, μεταξύ των οποίων συγκαταλέγονται οι ασυνόδευτοι ανήλικοι, οι Σύριοι και τα άτομα ιθαγένειας με χαμηλά μέσα ποσοστά αναγνώρισης βάσει επίσημων εθνικών στατιστικών.</w:t>
      </w:r>
    </w:p>
  </w:footnote>
  <w:footnote w:id="26">
    <w:p w:rsidR="00835C9C" w:rsidRDefault="003F26D7">
      <w:pPr>
        <w:pStyle w:val="FootnoteText"/>
        <w:ind w:left="284" w:hanging="284"/>
        <w:rPr>
          <w:rFonts w:ascii="Times New Roman" w:hAnsi="Times New Roman" w:cs="Times New Roman"/>
          <w:sz w:val="18"/>
          <w:szCs w:val="18"/>
          <w:lang w:val="pt-PT"/>
        </w:rPr>
      </w:pPr>
      <w:r>
        <w:rPr>
          <w:rStyle w:val="FootnoteReference"/>
          <w:rFonts w:ascii="Times New Roman" w:hAnsi="Times New Roman"/>
          <w:sz w:val="18"/>
        </w:rPr>
        <w:footnoteRef/>
      </w:r>
      <w:r>
        <w:rPr>
          <w:lang w:val="pt-PT"/>
        </w:rPr>
        <w:tab/>
      </w:r>
      <w:r>
        <w:rPr>
          <w:rFonts w:ascii="Times New Roman" w:hAnsi="Times New Roman"/>
          <w:sz w:val="18"/>
          <w:lang w:val="pt-PT"/>
        </w:rPr>
        <w:t xml:space="preserve">COM(2018) 798 final </w:t>
      </w:r>
      <w:r>
        <w:rPr>
          <w:rFonts w:ascii="Times New Roman" w:hAnsi="Times New Roman"/>
          <w:sz w:val="18"/>
        </w:rPr>
        <w:t>της</w:t>
      </w:r>
      <w:r>
        <w:rPr>
          <w:rFonts w:ascii="Times New Roman" w:hAnsi="Times New Roman"/>
          <w:sz w:val="18"/>
          <w:lang w:val="pt-PT"/>
        </w:rPr>
        <w:t xml:space="preserve"> 4.12.2018.</w:t>
      </w:r>
    </w:p>
  </w:footnote>
  <w:footnote w:id="27">
    <w:p w:rsidR="00835C9C" w:rsidRDefault="003F26D7">
      <w:pPr>
        <w:pStyle w:val="FootnoteText"/>
        <w:ind w:left="284" w:hanging="284"/>
        <w:jc w:val="both"/>
        <w:rPr>
          <w:rFonts w:ascii="Times New Roman" w:hAnsi="Times New Roman" w:cs="Times New Roman"/>
          <w:sz w:val="18"/>
          <w:szCs w:val="18"/>
          <w:lang w:val="pt-PT"/>
        </w:rPr>
      </w:pPr>
      <w:r>
        <w:rPr>
          <w:rStyle w:val="FootnoteReference"/>
          <w:rFonts w:ascii="Times New Roman" w:hAnsi="Times New Roman"/>
          <w:sz w:val="18"/>
        </w:rPr>
        <w:footnoteRef/>
      </w:r>
      <w:r>
        <w:rPr>
          <w:lang w:val="pt-PT"/>
        </w:rPr>
        <w:tab/>
      </w:r>
      <w:r>
        <w:rPr>
          <w:rFonts w:ascii="Times New Roman" w:hAnsi="Times New Roman"/>
          <w:sz w:val="18"/>
          <w:lang w:val="pt-PT"/>
        </w:rPr>
        <w:t xml:space="preserve">COM(2016) 385 final </w:t>
      </w:r>
      <w:r>
        <w:rPr>
          <w:rFonts w:ascii="Times New Roman" w:hAnsi="Times New Roman"/>
          <w:sz w:val="18"/>
        </w:rPr>
        <w:t>της</w:t>
      </w:r>
      <w:r>
        <w:rPr>
          <w:rFonts w:ascii="Times New Roman" w:hAnsi="Times New Roman"/>
          <w:sz w:val="18"/>
          <w:lang w:val="pt-PT"/>
        </w:rPr>
        <w:t xml:space="preserve"> 7.6.2016.</w:t>
      </w:r>
    </w:p>
  </w:footnote>
  <w:footnote w:id="28">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olor w:val="000000"/>
          <w:sz w:val="18"/>
        </w:rPr>
        <w:t xml:space="preserve">Έργα που έχουν εγκριθεί από τις επιχειρησιακές επιτροπές, συνολικής αξίας περίπου </w:t>
      </w:r>
      <w:r>
        <w:rPr>
          <w:rFonts w:ascii="Times New Roman" w:hAnsi="Times New Roman"/>
          <w:sz w:val="18"/>
        </w:rPr>
        <w:t>3,6 </w:t>
      </w:r>
      <w:r>
        <w:rPr>
          <w:rFonts w:ascii="Times New Roman" w:hAnsi="Times New Roman"/>
          <w:color w:val="000000"/>
          <w:sz w:val="18"/>
        </w:rPr>
        <w:t>δισ. EUR. Μέχρι στιγμής, έχουν υπογραφεί 393</w:t>
      </w:r>
      <w:r>
        <w:rPr>
          <w:rFonts w:ascii="Times New Roman" w:hAnsi="Times New Roman"/>
          <w:sz w:val="18"/>
        </w:rPr>
        <w:t xml:space="preserve"> συμβάσεις έναντι συνολικού ποσού που υπερβαίνει τα 2,6 δισ. EUR.</w:t>
      </w:r>
    </w:p>
  </w:footnote>
  <w:footnote w:id="29">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Τα τελικά ποσά και οι κατανομές των εν λόγω ε</w:t>
      </w:r>
      <w:r>
        <w:rPr>
          <w:rFonts w:ascii="Times New Roman" w:hAnsi="Times New Roman"/>
          <w:sz w:val="18"/>
        </w:rPr>
        <w:t xml:space="preserve">γγυήσεων πρόκειται να καθοριστούν με συμφωνίες εγγυήσεων οι οποίες θα υπογραφούν από τις αναπτυξιακές τράπεζες και την Ευρωπαϊκή Επιτροπή. </w:t>
      </w:r>
    </w:p>
  </w:footnote>
  <w:footnote w:id="30">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Έγγραφο 15250/18 της 6.12.2018.</w:t>
      </w:r>
    </w:p>
  </w:footnote>
  <w:footnote w:id="31">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COM(2015) 285 final της 27.5.2015.</w:t>
      </w:r>
    </w:p>
  </w:footnote>
  <w:footnote w:id="32">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Με χρηματοδότηση από το Ταμείο Ασύλου, Μετα</w:t>
      </w:r>
      <w:r>
        <w:rPr>
          <w:rFonts w:ascii="Times New Roman" w:hAnsi="Times New Roman"/>
          <w:sz w:val="18"/>
        </w:rPr>
        <w:t>νάστευσης και Ένταξης.</w:t>
      </w:r>
    </w:p>
  </w:footnote>
  <w:footnote w:id="33">
    <w:p w:rsidR="00835C9C" w:rsidRDefault="003F26D7">
      <w:pPr>
        <w:pStyle w:val="FootnoteText"/>
        <w:ind w:left="284" w:hanging="284"/>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Αιθιοπία, Ιορδανία, Λίβανος, Μάλι, Μαρόκο, Νίγηρας, Νιγηρία, Πακιστάν, Σενεγάλη, Σερβία, Σουδάν, Τυνησία.</w:t>
      </w:r>
    </w:p>
  </w:footnote>
  <w:footnote w:id="34">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COM(2018) 303 final της 16.5.2018.</w:t>
      </w:r>
      <w:r>
        <w:tab/>
      </w:r>
    </w:p>
  </w:footnote>
  <w:footnote w:id="35">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Διοργανώνονται στο πλαίσιο του κύκλου πολιτικής της ΕΕ/EMPACT (Ευρωπαϊκή Πολυκλαδική</w:t>
      </w:r>
      <w:r>
        <w:rPr>
          <w:rFonts w:ascii="Times New Roman" w:hAnsi="Times New Roman"/>
          <w:sz w:val="18"/>
        </w:rPr>
        <w:t xml:space="preserve"> Πλατφόρμα κατά των Εγκληματικών Απειλών). </w:t>
      </w:r>
    </w:p>
  </w:footnote>
  <w:footnote w:id="36">
    <w:p w:rsidR="00835C9C" w:rsidRDefault="003F26D7">
      <w:pPr>
        <w:pStyle w:val="FootnoteText"/>
        <w:ind w:left="284" w:hanging="284"/>
        <w:jc w:val="both"/>
      </w:pPr>
      <w:r>
        <w:rPr>
          <w:rStyle w:val="FootnoteReference"/>
          <w:rFonts w:ascii="Times New Roman" w:hAnsi="Times New Roman"/>
          <w:sz w:val="18"/>
        </w:rPr>
        <w:footnoteRef/>
      </w:r>
      <w:r>
        <w:tab/>
      </w:r>
      <w:r>
        <w:rPr>
          <w:rFonts w:ascii="Times New Roman" w:hAnsi="Times New Roman" w:cs="Times New Roman"/>
          <w:sz w:val="18"/>
          <w:szCs w:val="18"/>
        </w:rPr>
        <w:t>COM(2017) 200 και C(2017) 1600</w:t>
      </w:r>
      <w:r>
        <w:rPr>
          <w:rFonts w:ascii="Times New Roman" w:hAnsi="Times New Roman" w:cs="Times New Roman"/>
          <w:color w:val="000000"/>
          <w:sz w:val="18"/>
          <w:szCs w:val="18"/>
        </w:rPr>
        <w:t xml:space="preserve">, </w:t>
      </w:r>
      <w:r>
        <w:rPr>
          <w:rFonts w:ascii="Times New Roman" w:hAnsi="Times New Roman" w:cs="Times New Roman"/>
          <w:sz w:val="18"/>
          <w:szCs w:val="18"/>
        </w:rPr>
        <w:t>με βάση το COM(2015) 453</w:t>
      </w:r>
      <w:r>
        <w:rPr>
          <w:rFonts w:ascii="Times New Roman" w:hAnsi="Times New Roman" w:cs="Times New Roman"/>
          <w:color w:val="000000"/>
          <w:sz w:val="18"/>
          <w:szCs w:val="18"/>
        </w:rPr>
        <w:t xml:space="preserve">. </w:t>
      </w:r>
    </w:p>
  </w:footnote>
  <w:footnote w:id="37">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Κανονισμός (ΕΕ) 2018/1861, της 28ης Νοεμβρίου 2018, σχετικά με την εγκατάσταση, τη λειτουργία και τη χρήση του Συστήματος Πληροφοριών Σένγκεν (SIS) σ</w:t>
      </w:r>
      <w:r>
        <w:rPr>
          <w:rFonts w:ascii="Times New Roman" w:hAnsi="Times New Roman"/>
          <w:sz w:val="18"/>
        </w:rPr>
        <w:t>τον τομέα των συνοριακών ελέγχων, και κανονισμός (ΕΕ) 2018/1860, της 28ης Νοεμβρίου 2018, σχετικά με τη χρήση του Συστήματος Πληροφοριών Σένγκεν για την επιστροφή παρανόμως διαμενόντων υπηκόων τρίτων χωρών.</w:t>
      </w:r>
    </w:p>
  </w:footnote>
  <w:footnote w:id="38">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Το αποτέλεσμα αυτό αναμένεται να ενισχυθεί με </w:t>
      </w:r>
      <w:r>
        <w:rPr>
          <w:rFonts w:ascii="Times New Roman" w:hAnsi="Times New Roman"/>
          <w:sz w:val="18"/>
        </w:rPr>
        <w:t>τη νέα πρόταση για την Ευρωπαϊκή Συνοριοφυλακή και Ακτοφυλακή [COM(2018) 631 final της 12.9.2018].</w:t>
      </w:r>
    </w:p>
  </w:footnote>
  <w:footnote w:id="39">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COM(2018) 634 final της 12.9.2018.</w:t>
      </w:r>
    </w:p>
  </w:footnote>
  <w:footnote w:id="40">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Η αρχή της μη επαναπροώθησης σημαίνει ότι δεν επιτρέπεται η επιστροφή ενός προσώπου σε χώρα στην οποία το εν λόγω πρόσ</w:t>
      </w:r>
      <w:r>
        <w:rPr>
          <w:rFonts w:ascii="Times New Roman" w:hAnsi="Times New Roman"/>
          <w:sz w:val="18"/>
        </w:rPr>
        <w:t xml:space="preserve">ωπο έχει λόγο να φοβάται ότι θα υποστεί δίωξη. </w:t>
      </w:r>
    </w:p>
  </w:footnote>
  <w:footnote w:id="41">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Πηγές: Ευρωπαϊκός Οργανισμός Συνοριοφυλακής και Ακτοφυλακής και επιχείρηση «Σοφία».</w:t>
      </w:r>
    </w:p>
  </w:footnote>
  <w:footnote w:id="42">
    <w:p w:rsidR="00835C9C" w:rsidRDefault="003F26D7">
      <w:pPr>
        <w:pStyle w:val="FootnoteText"/>
        <w:ind w:left="284" w:hanging="284"/>
        <w:rPr>
          <w:rFonts w:ascii="Times New Roman" w:hAnsi="Times New Roman" w:cs="Times New Roman"/>
        </w:rPr>
      </w:pPr>
      <w:r>
        <w:rPr>
          <w:rStyle w:val="FootnoteReference"/>
          <w:rFonts w:ascii="Times New Roman" w:hAnsi="Times New Roman"/>
        </w:rPr>
        <w:footnoteRef/>
      </w:r>
      <w:r>
        <w:tab/>
      </w:r>
      <w:r>
        <w:rPr>
          <w:rFonts w:ascii="Times New Roman" w:hAnsi="Times New Roman"/>
          <w:sz w:val="18"/>
        </w:rPr>
        <w:t>COM(2018) 798 final της 4.12.2018.</w:t>
      </w:r>
    </w:p>
  </w:footnote>
  <w:footnote w:id="43">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Στο πλαίσιο του προγράμματος σχετικά με την υπό όρους μεταφορά χρημάτων για την εκπ</w:t>
      </w:r>
      <w:r>
        <w:rPr>
          <w:rFonts w:ascii="Times New Roman" w:hAnsi="Times New Roman"/>
          <w:sz w:val="18"/>
        </w:rPr>
        <w:t>αίδευση (CCTE).</w:t>
      </w:r>
    </w:p>
  </w:footnote>
  <w:footnote w:id="44">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Ο προϋπολογισμός του Καταπιστευματικού Ταμείου</w:t>
      </w:r>
      <w:r>
        <w:rPr>
          <w:rFonts w:ascii="Times New Roman" w:hAnsi="Times New Roman"/>
          <w:color w:val="000000"/>
          <w:sz w:val="18"/>
        </w:rPr>
        <w:t xml:space="preserve"> ανήλθε σε 1,6 δισ. EUR έως το τέλος του 2018, με την υποστήριξη 22 κρατών μελών και της Τουρκίας, καθώς και με στήριξη από τον προϋπολογισμό της ΕΕ. Το 94 % έχει δεσμευτεί, το 74 % έχει ανατε</w:t>
      </w:r>
      <w:r>
        <w:rPr>
          <w:rFonts w:ascii="Times New Roman" w:hAnsi="Times New Roman"/>
          <w:color w:val="000000"/>
          <w:sz w:val="18"/>
        </w:rPr>
        <w:t xml:space="preserve">θεί μέσω συμβάσεων και 690 εκατ. EUR έχουν εκταμιευθεί. Στο πλαίσιο στρατηγικής ενδιάμεσης αξιολόγησης προτάθηκε το </w:t>
      </w:r>
      <w:r>
        <w:rPr>
          <w:rFonts w:ascii="Times New Roman" w:hAnsi="Times New Roman"/>
          <w:sz w:val="18"/>
        </w:rPr>
        <w:t>Καταπιστευματικό Ταμείο</w:t>
      </w:r>
      <w:r>
        <w:rPr>
          <w:rFonts w:ascii="Times New Roman" w:hAnsi="Times New Roman"/>
          <w:color w:val="000000"/>
          <w:sz w:val="18"/>
        </w:rPr>
        <w:t xml:space="preserve"> της ΕΕ να παραταθεί πέραν της τρέχουσας εντολής του που εκτείνεται έως τον Δεκέμβριο του 2019.</w:t>
      </w:r>
    </w:p>
  </w:footnote>
  <w:footnote w:id="45">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Με χρηματοδότηση απ</w:t>
      </w:r>
      <w:r>
        <w:rPr>
          <w:rFonts w:ascii="Times New Roman" w:hAnsi="Times New Roman"/>
          <w:sz w:val="18"/>
        </w:rPr>
        <w:t xml:space="preserve">ό το </w:t>
      </w:r>
      <w:r>
        <w:rPr>
          <w:rFonts w:ascii="Times New Roman" w:hAnsi="Times New Roman"/>
          <w:color w:val="000000"/>
          <w:sz w:val="18"/>
        </w:rPr>
        <w:t>Ταμείο Ασύλου, Μετανάστευσης και Ένταξης. Από το 2015, έχουν διατεθεί περίπου 37 εκατ. EUR για έργα που εστιάζουν στην παροχή προστασίας στη Βόρεια Αφρική, καθώς και 27,5 εκατ. EUR στο Κέρας της Αφρικής.</w:t>
      </w:r>
      <w:r>
        <w:rPr>
          <w:rFonts w:ascii="Times New Roman" w:hAnsi="Times New Roman"/>
          <w:color w:val="000000"/>
          <w:sz w:val="24"/>
        </w:rPr>
        <w:t xml:space="preserve"> </w:t>
      </w:r>
    </w:p>
  </w:footnote>
  <w:footnote w:id="46">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Με την πρόταση της Επιτροπής θεσπίζονται κοι</w:t>
      </w:r>
      <w:r>
        <w:rPr>
          <w:rFonts w:ascii="Times New Roman" w:hAnsi="Times New Roman"/>
          <w:sz w:val="18"/>
        </w:rPr>
        <w:t>νές διατάξεις για επτά ταμεία, οι οποίες αναμένεται να διασφαλίσουν καλύτερες συνέργειες και, ως εκ τούτου, περισσότερη αποδοτικότητα κατά την αντιμετώπιση του ζητήματος της ένταξης των νομίμως διαμενόντων υπηκόων τρίτων χωρών και των ατόμων που προέρχοντα</w:t>
      </w:r>
      <w:r>
        <w:rPr>
          <w:rFonts w:ascii="Times New Roman" w:hAnsi="Times New Roman"/>
          <w:sz w:val="18"/>
        </w:rPr>
        <w:t>ι από οικογένειες μεταναστών.</w:t>
      </w:r>
    </w:p>
  </w:footnote>
  <w:footnote w:id="47">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s="Times New Roman"/>
          <w:sz w:val="18"/>
          <w:szCs w:val="18"/>
        </w:rPr>
        <w:t>Κυρίως στο πλαίσιο του Ταμείου Ασύλου και Μετανάστευσης. Άλλες δράσεις θα περιλαμβάνουν την παροχή συνδρομής σε τομείς όπως η στέγαση και η ιατροφαρμακευτική περίθαλψη και δράσεις για την προώθηση της αλληλεπίδρασης με τις κ</w:t>
      </w:r>
      <w:r>
        <w:rPr>
          <w:rFonts w:ascii="Times New Roman" w:hAnsi="Times New Roman" w:cs="Times New Roman"/>
          <w:sz w:val="18"/>
          <w:szCs w:val="18"/>
        </w:rPr>
        <w:t>οινωνίες υποδοχής.</w:t>
      </w:r>
    </w:p>
  </w:footnote>
  <w:footnote w:id="48">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Στο πλαίσιο αυτό περιλαμβάνεται η γλωσσική εκπαίδευση στον χώρο εργασίας, τα προγράμματα επαγγελματικής εκπαίδευσης και κατάρτισης, οι δράσεις για τη στήριξη της αυτοαπασχόλησης, η προαγωγή της συμμετοχής των γυναικών στην αγορά εργασί</w:t>
      </w:r>
      <w:r>
        <w:rPr>
          <w:rFonts w:ascii="Times New Roman" w:hAnsi="Times New Roman"/>
          <w:sz w:val="18"/>
        </w:rPr>
        <w:t>ας, η κοινωνική ένταξη κ.λπ., ανάλογα με τους ειδικούς στόχους που καθορίζονται στην πρόταση κανονισμού για το Ευρωπαϊκό Κοινωνικό Ταμείο+.</w:t>
      </w:r>
    </w:p>
  </w:footnote>
  <w:footnote w:id="49">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Κυρίως μέσω της προτεινόμενης διάθεσης ποσοστού 25 % για την κοινωνική ένταξη στο πλαίσιο του Ευρωπαϊκού Κοινωνικο</w:t>
      </w:r>
      <w:r>
        <w:rPr>
          <w:rFonts w:ascii="Times New Roman" w:hAnsi="Times New Roman"/>
          <w:sz w:val="18"/>
        </w:rPr>
        <w:t>ύ Ταμείου+. Το Ευρωπαϊκό Ταμείο Περιφερειακής Ανάπτυξης μπορεί επίσης να παράσχει στήριξη για επενδύσεις σε νέες εγκαταστάσεις υποδοχής και σε κοινωνική στέγαση, καθώς και στην ανάπλαση υποβαθμισμένων αστικών και αγροτικών περιοχών.</w:t>
      </w:r>
    </w:p>
  </w:footnote>
  <w:footnote w:id="50">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Η Αυστρία, η Γερμανία</w:t>
      </w:r>
      <w:r>
        <w:rPr>
          <w:rFonts w:ascii="Times New Roman" w:hAnsi="Times New Roman"/>
          <w:sz w:val="18"/>
        </w:rPr>
        <w:t xml:space="preserve">, η Δανία, η Σουηδία και η Νορβηγία για λόγους που συνδέονται με τη μεταναστευτική κρίση και τις δευτερογενείς μετακινήσεις· η Γαλλία κυρίως για λόγους τρομοκρατικών απειλών. </w:t>
      </w:r>
    </w:p>
  </w:footnote>
  <w:footnote w:id="51">
    <w:p w:rsidR="00835C9C" w:rsidRDefault="003F26D7">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C(2017) 3349 final της 12.5.2017 και C(2017) 6560 final της 27.9.2017 και COM(</w:t>
      </w:r>
      <w:r>
        <w:rPr>
          <w:rFonts w:ascii="Times New Roman" w:hAnsi="Times New Roman"/>
          <w:sz w:val="18"/>
        </w:rPr>
        <w:t>2017) 571 final της 27.9.2017.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9C" w:rsidRDefault="00835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9C" w:rsidRDefault="00835C9C">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9C" w:rsidRDefault="00835C9C">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9C" w:rsidRDefault="00835C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9C" w:rsidRDefault="00835C9C">
    <w:pPr>
      <w:pStyle w:val="Header"/>
      <w:jc w:val="right"/>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9C" w:rsidRDefault="00835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8BE"/>
    <w:multiLevelType w:val="hybridMultilevel"/>
    <w:tmpl w:val="09B6EDB8"/>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2040B5B"/>
    <w:multiLevelType w:val="hybridMultilevel"/>
    <w:tmpl w:val="A06C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82F17"/>
    <w:multiLevelType w:val="hybridMultilevel"/>
    <w:tmpl w:val="FFA0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F6DA8"/>
    <w:multiLevelType w:val="hybridMultilevel"/>
    <w:tmpl w:val="9CEC9FA4"/>
    <w:lvl w:ilvl="0" w:tplc="C2C243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94F85"/>
    <w:multiLevelType w:val="hybridMultilevel"/>
    <w:tmpl w:val="7B1A1ED0"/>
    <w:lvl w:ilvl="0" w:tplc="4672D052">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852A8E"/>
    <w:multiLevelType w:val="hybridMultilevel"/>
    <w:tmpl w:val="7536F2D8"/>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864AC0"/>
    <w:multiLevelType w:val="hybridMultilevel"/>
    <w:tmpl w:val="078A9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C51889"/>
    <w:multiLevelType w:val="hybridMultilevel"/>
    <w:tmpl w:val="E0E8ACEC"/>
    <w:lvl w:ilvl="0" w:tplc="25EE99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40A8E"/>
    <w:multiLevelType w:val="hybridMultilevel"/>
    <w:tmpl w:val="A8904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76931"/>
    <w:multiLevelType w:val="hybridMultilevel"/>
    <w:tmpl w:val="723AA55E"/>
    <w:lvl w:ilvl="0" w:tplc="71D0C3A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15464DD5"/>
    <w:multiLevelType w:val="hybridMultilevel"/>
    <w:tmpl w:val="7652A03C"/>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AB5F9A"/>
    <w:multiLevelType w:val="hybridMultilevel"/>
    <w:tmpl w:val="089A7C2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178C0B79"/>
    <w:multiLevelType w:val="hybridMultilevel"/>
    <w:tmpl w:val="C3D4298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868097C"/>
    <w:multiLevelType w:val="hybridMultilevel"/>
    <w:tmpl w:val="2C1C9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86E679E"/>
    <w:multiLevelType w:val="hybridMultilevel"/>
    <w:tmpl w:val="9B208572"/>
    <w:lvl w:ilvl="0" w:tplc="25EE99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97003B"/>
    <w:multiLevelType w:val="hybridMultilevel"/>
    <w:tmpl w:val="2CA8AAB0"/>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673747"/>
    <w:multiLevelType w:val="hybridMultilevel"/>
    <w:tmpl w:val="DB98158C"/>
    <w:lvl w:ilvl="0" w:tplc="0407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1A6F54F1"/>
    <w:multiLevelType w:val="hybridMultilevel"/>
    <w:tmpl w:val="D45AF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BFE2707"/>
    <w:multiLevelType w:val="hybridMultilevel"/>
    <w:tmpl w:val="AFB68ACA"/>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DF52C3"/>
    <w:multiLevelType w:val="hybridMultilevel"/>
    <w:tmpl w:val="3C5613BA"/>
    <w:lvl w:ilvl="0" w:tplc="0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D185B6E"/>
    <w:multiLevelType w:val="hybridMultilevel"/>
    <w:tmpl w:val="9746070E"/>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1" w15:restartNumberingAfterBreak="0">
    <w:nsid w:val="1E0D0EE1"/>
    <w:multiLevelType w:val="hybridMultilevel"/>
    <w:tmpl w:val="1228CDA8"/>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3D6455"/>
    <w:multiLevelType w:val="hybridMultilevel"/>
    <w:tmpl w:val="5EEA8F1C"/>
    <w:lvl w:ilvl="0" w:tplc="71D0C3A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2F676EF"/>
    <w:multiLevelType w:val="hybridMultilevel"/>
    <w:tmpl w:val="147071DE"/>
    <w:lvl w:ilvl="0" w:tplc="4672D05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C83757"/>
    <w:multiLevelType w:val="hybridMultilevel"/>
    <w:tmpl w:val="A31AC09C"/>
    <w:lvl w:ilvl="0" w:tplc="00109D30">
      <w:numFmt w:val="bullet"/>
      <w:lvlText w:val="•"/>
      <w:lvlJc w:val="left"/>
      <w:pPr>
        <w:ind w:left="360" w:hanging="72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2764645D"/>
    <w:multiLevelType w:val="hybridMultilevel"/>
    <w:tmpl w:val="0E0E96B0"/>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2F4543"/>
    <w:multiLevelType w:val="hybridMultilevel"/>
    <w:tmpl w:val="CA803E38"/>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289477E6"/>
    <w:multiLevelType w:val="hybridMultilevel"/>
    <w:tmpl w:val="078A90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CCB28E5"/>
    <w:multiLevelType w:val="hybridMultilevel"/>
    <w:tmpl w:val="37DA1B36"/>
    <w:lvl w:ilvl="0" w:tplc="0407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E04011B"/>
    <w:multiLevelType w:val="hybridMultilevel"/>
    <w:tmpl w:val="2BDA8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EE675A0"/>
    <w:multiLevelType w:val="hybridMultilevel"/>
    <w:tmpl w:val="560EB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0852B3D"/>
    <w:multiLevelType w:val="hybridMultilevel"/>
    <w:tmpl w:val="50006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0EC03E5"/>
    <w:multiLevelType w:val="hybridMultilevel"/>
    <w:tmpl w:val="601C7664"/>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11C307B"/>
    <w:multiLevelType w:val="hybridMultilevel"/>
    <w:tmpl w:val="5C78D97C"/>
    <w:lvl w:ilvl="0" w:tplc="279CE9EC">
      <w:start w:val="1"/>
      <w:numFmt w:val="bullet"/>
      <w:lvlText w:val="•"/>
      <w:lvlJc w:val="left"/>
      <w:pPr>
        <w:tabs>
          <w:tab w:val="num" w:pos="720"/>
        </w:tabs>
        <w:ind w:left="720" w:hanging="360"/>
      </w:pPr>
      <w:rPr>
        <w:rFonts w:ascii="Times New Roman" w:hAnsi="Times New Roman" w:hint="default"/>
      </w:rPr>
    </w:lvl>
    <w:lvl w:ilvl="1" w:tplc="9CB43992">
      <w:start w:val="1"/>
      <w:numFmt w:val="bullet"/>
      <w:lvlText w:val="•"/>
      <w:lvlJc w:val="left"/>
      <w:pPr>
        <w:tabs>
          <w:tab w:val="num" w:pos="1440"/>
        </w:tabs>
        <w:ind w:left="1440" w:hanging="360"/>
      </w:pPr>
      <w:rPr>
        <w:rFonts w:ascii="Times New Roman" w:hAnsi="Times New Roman" w:hint="default"/>
      </w:rPr>
    </w:lvl>
    <w:lvl w:ilvl="2" w:tplc="F0720A3E" w:tentative="1">
      <w:start w:val="1"/>
      <w:numFmt w:val="bullet"/>
      <w:lvlText w:val="•"/>
      <w:lvlJc w:val="left"/>
      <w:pPr>
        <w:tabs>
          <w:tab w:val="num" w:pos="2160"/>
        </w:tabs>
        <w:ind w:left="2160" w:hanging="360"/>
      </w:pPr>
      <w:rPr>
        <w:rFonts w:ascii="Times New Roman" w:hAnsi="Times New Roman" w:hint="default"/>
      </w:rPr>
    </w:lvl>
    <w:lvl w:ilvl="3" w:tplc="620E4760" w:tentative="1">
      <w:start w:val="1"/>
      <w:numFmt w:val="bullet"/>
      <w:lvlText w:val="•"/>
      <w:lvlJc w:val="left"/>
      <w:pPr>
        <w:tabs>
          <w:tab w:val="num" w:pos="2880"/>
        </w:tabs>
        <w:ind w:left="2880" w:hanging="360"/>
      </w:pPr>
      <w:rPr>
        <w:rFonts w:ascii="Times New Roman" w:hAnsi="Times New Roman" w:hint="default"/>
      </w:rPr>
    </w:lvl>
    <w:lvl w:ilvl="4" w:tplc="A81A6532" w:tentative="1">
      <w:start w:val="1"/>
      <w:numFmt w:val="bullet"/>
      <w:lvlText w:val="•"/>
      <w:lvlJc w:val="left"/>
      <w:pPr>
        <w:tabs>
          <w:tab w:val="num" w:pos="3600"/>
        </w:tabs>
        <w:ind w:left="3600" w:hanging="360"/>
      </w:pPr>
      <w:rPr>
        <w:rFonts w:ascii="Times New Roman" w:hAnsi="Times New Roman" w:hint="default"/>
      </w:rPr>
    </w:lvl>
    <w:lvl w:ilvl="5" w:tplc="AEAA5C9E" w:tentative="1">
      <w:start w:val="1"/>
      <w:numFmt w:val="bullet"/>
      <w:lvlText w:val="•"/>
      <w:lvlJc w:val="left"/>
      <w:pPr>
        <w:tabs>
          <w:tab w:val="num" w:pos="4320"/>
        </w:tabs>
        <w:ind w:left="4320" w:hanging="360"/>
      </w:pPr>
      <w:rPr>
        <w:rFonts w:ascii="Times New Roman" w:hAnsi="Times New Roman" w:hint="default"/>
      </w:rPr>
    </w:lvl>
    <w:lvl w:ilvl="6" w:tplc="7332BAF0" w:tentative="1">
      <w:start w:val="1"/>
      <w:numFmt w:val="bullet"/>
      <w:lvlText w:val="•"/>
      <w:lvlJc w:val="left"/>
      <w:pPr>
        <w:tabs>
          <w:tab w:val="num" w:pos="5040"/>
        </w:tabs>
        <w:ind w:left="5040" w:hanging="360"/>
      </w:pPr>
      <w:rPr>
        <w:rFonts w:ascii="Times New Roman" w:hAnsi="Times New Roman" w:hint="default"/>
      </w:rPr>
    </w:lvl>
    <w:lvl w:ilvl="7" w:tplc="144867DC" w:tentative="1">
      <w:start w:val="1"/>
      <w:numFmt w:val="bullet"/>
      <w:lvlText w:val="•"/>
      <w:lvlJc w:val="left"/>
      <w:pPr>
        <w:tabs>
          <w:tab w:val="num" w:pos="5760"/>
        </w:tabs>
        <w:ind w:left="5760" w:hanging="360"/>
      </w:pPr>
      <w:rPr>
        <w:rFonts w:ascii="Times New Roman" w:hAnsi="Times New Roman" w:hint="default"/>
      </w:rPr>
    </w:lvl>
    <w:lvl w:ilvl="8" w:tplc="BC3A733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318C75F2"/>
    <w:multiLevelType w:val="hybridMultilevel"/>
    <w:tmpl w:val="7C2AEBFC"/>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F41AAC"/>
    <w:multiLevelType w:val="hybridMultilevel"/>
    <w:tmpl w:val="C750EDB8"/>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2F93A07"/>
    <w:multiLevelType w:val="hybridMultilevel"/>
    <w:tmpl w:val="A85E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41C6716"/>
    <w:multiLevelType w:val="hybridMultilevel"/>
    <w:tmpl w:val="FD9A8768"/>
    <w:lvl w:ilvl="0" w:tplc="25EE9964">
      <w:numFmt w:val="bullet"/>
      <w:lvlText w:val="-"/>
      <w:lvlJc w:val="left"/>
      <w:pPr>
        <w:ind w:left="1800" w:hanging="360"/>
      </w:pPr>
      <w:rPr>
        <w:rFonts w:ascii="Times New Roman" w:eastAsia="Times New Roman"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34B83D22"/>
    <w:multiLevelType w:val="hybridMultilevel"/>
    <w:tmpl w:val="E1F29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53C7E88"/>
    <w:multiLevelType w:val="hybridMultilevel"/>
    <w:tmpl w:val="D374C3F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ED4546"/>
    <w:multiLevelType w:val="hybridMultilevel"/>
    <w:tmpl w:val="B93EF4CE"/>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1" w15:restartNumberingAfterBreak="0">
    <w:nsid w:val="39925A32"/>
    <w:multiLevelType w:val="hybridMultilevel"/>
    <w:tmpl w:val="B5B0A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F5D018D"/>
    <w:multiLevelType w:val="hybridMultilevel"/>
    <w:tmpl w:val="BB4E2C8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42BB37BD"/>
    <w:multiLevelType w:val="hybridMultilevel"/>
    <w:tmpl w:val="A95C99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4" w15:restartNumberingAfterBreak="0">
    <w:nsid w:val="43DD30CF"/>
    <w:multiLevelType w:val="hybridMultilevel"/>
    <w:tmpl w:val="9C8E8054"/>
    <w:lvl w:ilvl="0" w:tplc="4672D052">
      <w:numFmt w:val="bullet"/>
      <w:lvlText w:val="–"/>
      <w:lvlJc w:val="left"/>
      <w:pPr>
        <w:ind w:left="360" w:hanging="360"/>
      </w:pPr>
      <w:rPr>
        <w:rFonts w:ascii="Times New Roman" w:eastAsia="Calibri" w:hAnsi="Times New Roman" w:cs="Times New Roman" w:hint="default"/>
      </w:rPr>
    </w:lvl>
    <w:lvl w:ilvl="1" w:tplc="25EE9964">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43608EB"/>
    <w:multiLevelType w:val="hybridMultilevel"/>
    <w:tmpl w:val="39887CBA"/>
    <w:lvl w:ilvl="0" w:tplc="F3E42E30">
      <w:start w:val="8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401CE4"/>
    <w:multiLevelType w:val="hybridMultilevel"/>
    <w:tmpl w:val="164A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C007B7"/>
    <w:multiLevelType w:val="hybridMultilevel"/>
    <w:tmpl w:val="6430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4FE36CC5"/>
    <w:multiLevelType w:val="hybridMultilevel"/>
    <w:tmpl w:val="2E503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395464E"/>
    <w:multiLevelType w:val="hybridMultilevel"/>
    <w:tmpl w:val="90E8BDA6"/>
    <w:lvl w:ilvl="0" w:tplc="0407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0" w15:restartNumberingAfterBreak="0">
    <w:nsid w:val="55710540"/>
    <w:multiLevelType w:val="hybridMultilevel"/>
    <w:tmpl w:val="C15C7100"/>
    <w:lvl w:ilvl="0" w:tplc="C09E07AC">
      <w:start w:val="17"/>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57B628DC"/>
    <w:multiLevelType w:val="hybridMultilevel"/>
    <w:tmpl w:val="7B4454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2" w15:restartNumberingAfterBreak="0">
    <w:nsid w:val="5A3F6939"/>
    <w:multiLevelType w:val="hybridMultilevel"/>
    <w:tmpl w:val="D722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ADE441F"/>
    <w:multiLevelType w:val="hybridMultilevel"/>
    <w:tmpl w:val="2EA02A8C"/>
    <w:lvl w:ilvl="0" w:tplc="FF26F3B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5DAA1FE5"/>
    <w:multiLevelType w:val="hybridMultilevel"/>
    <w:tmpl w:val="787C942E"/>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15257C7"/>
    <w:multiLevelType w:val="hybridMultilevel"/>
    <w:tmpl w:val="6B18F3AE"/>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39D53BB"/>
    <w:multiLevelType w:val="hybridMultilevel"/>
    <w:tmpl w:val="D940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5634303"/>
    <w:multiLevelType w:val="hybridMultilevel"/>
    <w:tmpl w:val="0C16198E"/>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424EDD"/>
    <w:multiLevelType w:val="hybridMultilevel"/>
    <w:tmpl w:val="98C07C14"/>
    <w:lvl w:ilvl="0" w:tplc="0407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67031DDD"/>
    <w:multiLevelType w:val="hybridMultilevel"/>
    <w:tmpl w:val="C630B036"/>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70F6AA7"/>
    <w:multiLevelType w:val="hybridMultilevel"/>
    <w:tmpl w:val="EEC8EE7E"/>
    <w:lvl w:ilvl="0" w:tplc="0407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1" w15:restartNumberingAfterBreak="0">
    <w:nsid w:val="6C1B20AE"/>
    <w:multiLevelType w:val="hybridMultilevel"/>
    <w:tmpl w:val="E1145126"/>
    <w:lvl w:ilvl="0" w:tplc="0809000F">
      <w:start w:val="1"/>
      <w:numFmt w:val="decimal"/>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823466A4">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D065866"/>
    <w:multiLevelType w:val="hybridMultilevel"/>
    <w:tmpl w:val="BBD67170"/>
    <w:lvl w:ilvl="0" w:tplc="B0FA0B2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6F22475F"/>
    <w:multiLevelType w:val="hybridMultilevel"/>
    <w:tmpl w:val="71D8F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F9751E8"/>
    <w:multiLevelType w:val="hybridMultilevel"/>
    <w:tmpl w:val="2F6C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4250521"/>
    <w:multiLevelType w:val="hybridMultilevel"/>
    <w:tmpl w:val="B1488AD4"/>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53A12E4"/>
    <w:multiLevelType w:val="hybridMultilevel"/>
    <w:tmpl w:val="E3D611A4"/>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6167830"/>
    <w:multiLevelType w:val="hybridMultilevel"/>
    <w:tmpl w:val="52D87F8A"/>
    <w:lvl w:ilvl="0" w:tplc="08090001">
      <w:start w:val="1"/>
      <w:numFmt w:val="bullet"/>
      <w:lvlText w:val=""/>
      <w:lvlJc w:val="left"/>
      <w:pPr>
        <w:ind w:left="669" w:hanging="360"/>
      </w:pPr>
      <w:rPr>
        <w:rFonts w:ascii="Symbol" w:hAnsi="Symbol" w:hint="default"/>
      </w:rPr>
    </w:lvl>
    <w:lvl w:ilvl="1" w:tplc="08090003" w:tentative="1">
      <w:start w:val="1"/>
      <w:numFmt w:val="bullet"/>
      <w:lvlText w:val="o"/>
      <w:lvlJc w:val="left"/>
      <w:pPr>
        <w:ind w:left="1389" w:hanging="360"/>
      </w:pPr>
      <w:rPr>
        <w:rFonts w:ascii="Courier New" w:hAnsi="Courier New" w:cs="Courier New" w:hint="default"/>
      </w:rPr>
    </w:lvl>
    <w:lvl w:ilvl="2" w:tplc="08090005" w:tentative="1">
      <w:start w:val="1"/>
      <w:numFmt w:val="bullet"/>
      <w:lvlText w:val=""/>
      <w:lvlJc w:val="left"/>
      <w:pPr>
        <w:ind w:left="2109" w:hanging="360"/>
      </w:pPr>
      <w:rPr>
        <w:rFonts w:ascii="Wingdings" w:hAnsi="Wingdings" w:hint="default"/>
      </w:rPr>
    </w:lvl>
    <w:lvl w:ilvl="3" w:tplc="08090001" w:tentative="1">
      <w:start w:val="1"/>
      <w:numFmt w:val="bullet"/>
      <w:lvlText w:val=""/>
      <w:lvlJc w:val="left"/>
      <w:pPr>
        <w:ind w:left="2829" w:hanging="360"/>
      </w:pPr>
      <w:rPr>
        <w:rFonts w:ascii="Symbol" w:hAnsi="Symbol" w:hint="default"/>
      </w:rPr>
    </w:lvl>
    <w:lvl w:ilvl="4" w:tplc="08090003" w:tentative="1">
      <w:start w:val="1"/>
      <w:numFmt w:val="bullet"/>
      <w:lvlText w:val="o"/>
      <w:lvlJc w:val="left"/>
      <w:pPr>
        <w:ind w:left="3549" w:hanging="360"/>
      </w:pPr>
      <w:rPr>
        <w:rFonts w:ascii="Courier New" w:hAnsi="Courier New" w:cs="Courier New" w:hint="default"/>
      </w:rPr>
    </w:lvl>
    <w:lvl w:ilvl="5" w:tplc="08090005" w:tentative="1">
      <w:start w:val="1"/>
      <w:numFmt w:val="bullet"/>
      <w:lvlText w:val=""/>
      <w:lvlJc w:val="left"/>
      <w:pPr>
        <w:ind w:left="4269" w:hanging="360"/>
      </w:pPr>
      <w:rPr>
        <w:rFonts w:ascii="Wingdings" w:hAnsi="Wingdings" w:hint="default"/>
      </w:rPr>
    </w:lvl>
    <w:lvl w:ilvl="6" w:tplc="08090001" w:tentative="1">
      <w:start w:val="1"/>
      <w:numFmt w:val="bullet"/>
      <w:lvlText w:val=""/>
      <w:lvlJc w:val="left"/>
      <w:pPr>
        <w:ind w:left="4989" w:hanging="360"/>
      </w:pPr>
      <w:rPr>
        <w:rFonts w:ascii="Symbol" w:hAnsi="Symbol" w:hint="default"/>
      </w:rPr>
    </w:lvl>
    <w:lvl w:ilvl="7" w:tplc="08090003" w:tentative="1">
      <w:start w:val="1"/>
      <w:numFmt w:val="bullet"/>
      <w:lvlText w:val="o"/>
      <w:lvlJc w:val="left"/>
      <w:pPr>
        <w:ind w:left="5709" w:hanging="360"/>
      </w:pPr>
      <w:rPr>
        <w:rFonts w:ascii="Courier New" w:hAnsi="Courier New" w:cs="Courier New" w:hint="default"/>
      </w:rPr>
    </w:lvl>
    <w:lvl w:ilvl="8" w:tplc="08090005" w:tentative="1">
      <w:start w:val="1"/>
      <w:numFmt w:val="bullet"/>
      <w:lvlText w:val=""/>
      <w:lvlJc w:val="left"/>
      <w:pPr>
        <w:ind w:left="6429" w:hanging="360"/>
      </w:pPr>
      <w:rPr>
        <w:rFonts w:ascii="Wingdings" w:hAnsi="Wingdings" w:hint="default"/>
      </w:rPr>
    </w:lvl>
  </w:abstractNum>
  <w:abstractNum w:abstractNumId="68" w15:restartNumberingAfterBreak="0">
    <w:nsid w:val="76637466"/>
    <w:multiLevelType w:val="hybridMultilevel"/>
    <w:tmpl w:val="7886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C2C6F15"/>
    <w:multiLevelType w:val="hybridMultilevel"/>
    <w:tmpl w:val="B4E2D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7E12547B"/>
    <w:multiLevelType w:val="hybridMultilevel"/>
    <w:tmpl w:val="699AD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7E1C573A"/>
    <w:multiLevelType w:val="hybridMultilevel"/>
    <w:tmpl w:val="108ACD60"/>
    <w:lvl w:ilvl="0" w:tplc="0407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51"/>
  </w:num>
  <w:num w:numId="2">
    <w:abstractNumId w:val="42"/>
  </w:num>
  <w:num w:numId="3">
    <w:abstractNumId w:val="19"/>
  </w:num>
  <w:num w:numId="4">
    <w:abstractNumId w:val="22"/>
  </w:num>
  <w:num w:numId="5">
    <w:abstractNumId w:val="20"/>
  </w:num>
  <w:num w:numId="6">
    <w:abstractNumId w:val="14"/>
  </w:num>
  <w:num w:numId="7">
    <w:abstractNumId w:val="4"/>
  </w:num>
  <w:num w:numId="8">
    <w:abstractNumId w:val="37"/>
  </w:num>
  <w:num w:numId="9">
    <w:abstractNumId w:val="39"/>
  </w:num>
  <w:num w:numId="10">
    <w:abstractNumId w:val="18"/>
  </w:num>
  <w:num w:numId="11">
    <w:abstractNumId w:val="65"/>
  </w:num>
  <w:num w:numId="12">
    <w:abstractNumId w:val="55"/>
  </w:num>
  <w:num w:numId="13">
    <w:abstractNumId w:val="44"/>
  </w:num>
  <w:num w:numId="14">
    <w:abstractNumId w:val="7"/>
  </w:num>
  <w:num w:numId="15">
    <w:abstractNumId w:val="60"/>
  </w:num>
  <w:num w:numId="16">
    <w:abstractNumId w:val="61"/>
  </w:num>
  <w:num w:numId="17">
    <w:abstractNumId w:val="49"/>
  </w:num>
  <w:num w:numId="18">
    <w:abstractNumId w:val="16"/>
  </w:num>
  <w:num w:numId="19">
    <w:abstractNumId w:val="28"/>
  </w:num>
  <w:num w:numId="20">
    <w:abstractNumId w:val="71"/>
  </w:num>
  <w:num w:numId="21">
    <w:abstractNumId w:val="40"/>
  </w:num>
  <w:num w:numId="22">
    <w:abstractNumId w:val="26"/>
  </w:num>
  <w:num w:numId="23">
    <w:abstractNumId w:val="0"/>
  </w:num>
  <w:num w:numId="24">
    <w:abstractNumId w:val="21"/>
  </w:num>
  <w:num w:numId="25">
    <w:abstractNumId w:val="58"/>
  </w:num>
  <w:num w:numId="26">
    <w:abstractNumId w:val="43"/>
  </w:num>
  <w:num w:numId="27">
    <w:abstractNumId w:val="11"/>
  </w:num>
  <w:num w:numId="28">
    <w:abstractNumId w:val="63"/>
  </w:num>
  <w:num w:numId="29">
    <w:abstractNumId w:val="48"/>
  </w:num>
  <w:num w:numId="30">
    <w:abstractNumId w:val="57"/>
  </w:num>
  <w:num w:numId="31">
    <w:abstractNumId w:val="25"/>
  </w:num>
  <w:num w:numId="32">
    <w:abstractNumId w:val="67"/>
  </w:num>
  <w:num w:numId="33">
    <w:abstractNumId w:val="3"/>
  </w:num>
  <w:num w:numId="34">
    <w:abstractNumId w:val="12"/>
  </w:num>
  <w:num w:numId="35">
    <w:abstractNumId w:val="31"/>
  </w:num>
  <w:num w:numId="36">
    <w:abstractNumId w:val="45"/>
  </w:num>
  <w:num w:numId="37">
    <w:abstractNumId w:val="33"/>
  </w:num>
  <w:num w:numId="38">
    <w:abstractNumId w:val="8"/>
  </w:num>
  <w:num w:numId="39">
    <w:abstractNumId w:val="52"/>
  </w:num>
  <w:num w:numId="40">
    <w:abstractNumId w:val="41"/>
  </w:num>
  <w:num w:numId="41">
    <w:abstractNumId w:val="38"/>
  </w:num>
  <w:num w:numId="42">
    <w:abstractNumId w:val="27"/>
  </w:num>
  <w:num w:numId="43">
    <w:abstractNumId w:val="1"/>
  </w:num>
  <w:num w:numId="44">
    <w:abstractNumId w:val="70"/>
  </w:num>
  <w:num w:numId="45">
    <w:abstractNumId w:val="24"/>
  </w:num>
  <w:num w:numId="46">
    <w:abstractNumId w:val="2"/>
  </w:num>
  <w:num w:numId="47">
    <w:abstractNumId w:val="13"/>
  </w:num>
  <w:num w:numId="48">
    <w:abstractNumId w:val="50"/>
  </w:num>
  <w:num w:numId="49">
    <w:abstractNumId w:val="47"/>
  </w:num>
  <w:num w:numId="50">
    <w:abstractNumId w:val="17"/>
  </w:num>
  <w:num w:numId="51">
    <w:abstractNumId w:val="6"/>
  </w:num>
  <w:num w:numId="52">
    <w:abstractNumId w:val="53"/>
  </w:num>
  <w:num w:numId="53">
    <w:abstractNumId w:val="15"/>
  </w:num>
  <w:num w:numId="54">
    <w:abstractNumId w:val="9"/>
  </w:num>
  <w:num w:numId="55">
    <w:abstractNumId w:val="10"/>
  </w:num>
  <w:num w:numId="56">
    <w:abstractNumId w:val="54"/>
  </w:num>
  <w:num w:numId="57">
    <w:abstractNumId w:val="5"/>
  </w:num>
  <w:num w:numId="58">
    <w:abstractNumId w:val="59"/>
  </w:num>
  <w:num w:numId="59">
    <w:abstractNumId w:val="35"/>
  </w:num>
  <w:num w:numId="60">
    <w:abstractNumId w:val="32"/>
  </w:num>
  <w:num w:numId="61">
    <w:abstractNumId w:val="23"/>
  </w:num>
  <w:num w:numId="62">
    <w:abstractNumId w:val="66"/>
  </w:num>
  <w:num w:numId="63">
    <w:abstractNumId w:val="64"/>
  </w:num>
  <w:num w:numId="64">
    <w:abstractNumId w:val="34"/>
  </w:num>
  <w:num w:numId="65">
    <w:abstractNumId w:val="30"/>
  </w:num>
  <w:num w:numId="66">
    <w:abstractNumId w:val="29"/>
  </w:num>
  <w:num w:numId="67">
    <w:abstractNumId w:val="56"/>
  </w:num>
  <w:num w:numId="68">
    <w:abstractNumId w:val="36"/>
  </w:num>
  <w:num w:numId="69">
    <w:abstractNumId w:val="68"/>
  </w:num>
  <w:num w:numId="70">
    <w:abstractNumId w:val="46"/>
  </w:num>
  <w:num w:numId="71">
    <w:abstractNumId w:val="62"/>
  </w:num>
  <w:num w:numId="72">
    <w:abstractNumId w:val="6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7DA2FA8-A6DF-41AD-98A8-55777E2C7585"/>
    <w:docVar w:name="LW_COVERPAGE_TYPE" w:val="1"/>
    <w:docVar w:name="LW_CROSSREFERENCE" w:val="&lt;UNUSED&gt;"/>
    <w:docVar w:name="LW_DocType" w:val="NORMAL"/>
    <w:docVar w:name="LW_EMISSION" w:val="6.3.2019"/>
    <w:docVar w:name="LW_EMISSION_ISODATE" w:val="2019-03-06"/>
    <w:docVar w:name="LW_EMISSION_LOCATION" w:val="BRX"/>
    <w:docVar w:name="LW_EMISSION_PREFIX" w:val="Βρυξέλλες, "/>
    <w:docVar w:name="LW_EMISSION_SUFFIX" w:val=" "/>
    <w:docVar w:name="LW_ID_DOCTYPE_NONLW" w:val="CP-009"/>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1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904?\u954?\u952?\u949?\u963?\u951? \u960?\u961?\u959?\u972?\u948?\u959?\u965? \u963?\u967?\u949?\u964?\u953?\u954?\u940? \u956?\u949? \u964?\u951?\u957? \u965?\u955?\u959?\u960?\u959?\u943?\u951?\u963?\u951? \u964?\u959?\u965? \u949?\u965?\u961?\u969?\u960?\u945?\u970?\u954?\u959?\u973? \u960?\u961?\u959?\u947?\u961?\u940?\u956?\u956?\u945?\u964?\u959?\u962? \u948?\u961?\u940?\u963?\u951?\u962? \u947?\u953?\u945? \u964?\u951? \u956?\u949?\u964?\u945?\u957?\u940?\u963?\u964?\u949?\u965?\u963?\u951?"/>
    <w:docVar w:name="LW_TYPE.DOC.CP" w:val="\u913?\u925?\u913?\u922?\u927?\u921?\u925?\u937?\u931?\u919? \u932?\u919?\u931? \u917?\u928?\u921?\u932?\u929?\u927?\u928?H\u931?"/>
    <w:docVar w:name="LW_TYPE.DOC.CP.USERTEXT" w:val="\u928?\u929?\u927?\u931? \u932?\u927? \u917?\u933?\u929?\u937?\u928?\u913?\u938?\u922?\u927? \u922?\u927?\u921?\u925?\u927?\u914?\u927?\u933?\u923?\u921?\u927?, \u932?\u927? \u917?\u933?\u929?\u937?\u928?\u913?\u938?\u922?\u927? \u931?\u933?\u924?\u914?\u927?\u933?\u923?\u921?\u927? \u922?\u913?\u921? \u932?\u927? \u931?\u933?\u924?\u914?\u927?\u933?\u923?\u921?\u927?"/>
  </w:docVars>
  <w:rsids>
    <w:rsidRoot w:val="00835C9C"/>
    <w:rsid w:val="003F26D7"/>
    <w:rsid w:val="00835C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eastAsia="Times New Roman" w:hAnsi="Calibri" w:cs="Times New Roman"/>
    </w:rPr>
  </w:style>
  <w:style w:type="paragraph" w:styleId="Heading1">
    <w:name w:val="heading 1"/>
    <w:basedOn w:val="Normal"/>
    <w:next w:val="Normal"/>
    <w:link w:val="Heading1Char"/>
    <w:qFormat/>
    <w:pPr>
      <w:keepNext/>
      <w:tabs>
        <w:tab w:val="num" w:pos="480"/>
      </w:tabs>
      <w:spacing w:before="240" w:after="240"/>
      <w:ind w:left="480" w:hanging="480"/>
      <w:jc w:val="both"/>
      <w:outlineLvl w:val="0"/>
    </w:pPr>
    <w:rPr>
      <w:rFonts w:ascii="Times New Roman" w:hAnsi="Times New Roman"/>
      <w:b/>
      <w:smallCaps/>
      <w:sz w:val="24"/>
      <w:szCs w:val="20"/>
    </w:rPr>
  </w:style>
  <w:style w:type="paragraph" w:styleId="Heading2">
    <w:name w:val="heading 2"/>
    <w:basedOn w:val="Normal"/>
    <w:next w:val="Normal"/>
    <w:link w:val="Heading2Char"/>
    <w:qFormat/>
    <w:pPr>
      <w:keepNext/>
      <w:tabs>
        <w:tab w:val="num" w:pos="1200"/>
      </w:tabs>
      <w:spacing w:after="240"/>
      <w:ind w:left="1200" w:hanging="720"/>
      <w:jc w:val="both"/>
      <w:outlineLvl w:val="1"/>
    </w:pPr>
    <w:rPr>
      <w:rFonts w:ascii="Times New Roman" w:hAnsi="Times New Roman"/>
      <w:b/>
      <w:sz w:val="24"/>
      <w:szCs w:val="20"/>
    </w:rPr>
  </w:style>
  <w:style w:type="paragraph" w:styleId="Heading3">
    <w:name w:val="heading 3"/>
    <w:basedOn w:val="Normal"/>
    <w:next w:val="Normal"/>
    <w:link w:val="Heading3Char"/>
    <w:qFormat/>
    <w:pPr>
      <w:keepNext/>
      <w:tabs>
        <w:tab w:val="num" w:pos="1920"/>
      </w:tabs>
      <w:spacing w:after="240"/>
      <w:ind w:left="1920" w:hanging="720"/>
      <w:jc w:val="both"/>
      <w:outlineLvl w:val="2"/>
    </w:pPr>
    <w:rPr>
      <w:rFonts w:ascii="Times New Roman" w:hAnsi="Times New Roman"/>
      <w:i/>
      <w:sz w:val="24"/>
      <w:szCs w:val="20"/>
    </w:rPr>
  </w:style>
  <w:style w:type="paragraph" w:styleId="Heading4">
    <w:name w:val="heading 4"/>
    <w:basedOn w:val="Normal"/>
    <w:next w:val="Normal"/>
    <w:link w:val="Heading4Char"/>
    <w:qFormat/>
    <w:pPr>
      <w:keepNext/>
      <w:tabs>
        <w:tab w:val="num" w:pos="1920"/>
      </w:tabs>
      <w:spacing w:after="240"/>
      <w:ind w:left="1920" w:hanging="720"/>
      <w:jc w:val="both"/>
      <w:outlineLvl w:val="3"/>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Times New Roman" w:hAnsi="Calibri" w:cs="Times New Roman"/>
    </w:r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nhideWhenUsed/>
    <w:qFormat/>
    <w:rPr>
      <w:rFonts w:asciiTheme="minorHAnsi" w:eastAsiaTheme="minorHAnsi" w:hAnsiTheme="minorHAnsi" w:cstheme="minorBidi"/>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Ref"/>
    <w:basedOn w:val="DefaultParagraphFont"/>
    <w:uiPriority w:val="99"/>
    <w:unhideWhenUsed/>
    <w:qFormat/>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Times New Roman" w:hAnsi="Calibri" w:cs="Times New Roman"/>
    </w:rPr>
  </w:style>
  <w:style w:type="character" w:styleId="Hyperlink">
    <w:name w:val="Hyperlink"/>
    <w:basedOn w:val="DefaultParagraphFont"/>
    <w:uiPriority w:val="99"/>
    <w:unhideWhenUsed/>
    <w:rPr>
      <w:color w:val="0000FF" w:themeColor="hyperlink"/>
      <w:u w:val="single"/>
    </w:rPr>
  </w:style>
  <w:style w:type="paragraph" w:customStyle="1" w:styleId="ISAAFootnote">
    <w:name w:val="ISAA_Footnote"/>
    <w:basedOn w:val="FootnoteText"/>
    <w:autoRedefine/>
    <w:qFormat/>
    <w:pPr>
      <w:jc w:val="both"/>
    </w:pPr>
    <w:rPr>
      <w:rFonts w:ascii="EC Square Sans Pro" w:eastAsia="Times New Roman" w:hAnsi="EC Square Sans Pro" w:cs="Times New Roman"/>
      <w:sz w:val="18"/>
    </w:rPr>
  </w:style>
  <w:style w:type="paragraph" w:customStyle="1" w:styleId="ISAANormal">
    <w:name w:val="ISAA_Normal"/>
    <w:basedOn w:val="Normal"/>
    <w:qFormat/>
    <w:pPr>
      <w:spacing w:after="240"/>
      <w:jc w:val="both"/>
    </w:pPr>
    <w:rPr>
      <w:rFonts w:ascii="EC Square Sans Pro" w:hAnsi="EC Square Sans Pro"/>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 w:val="20"/>
      <w:szCs w:val="24"/>
    </w:rPr>
  </w:style>
  <w:style w:type="character" w:customStyle="1" w:styleId="5NormalChar">
    <w:name w:val="5 Normal Char"/>
    <w:link w:val="5Normal"/>
    <w:locked/>
    <w:rPr>
      <w:rFonts w:ascii="Verdana" w:eastAsia="Times New Roman" w:hAnsi="Verdana" w:cs="Times New Roman"/>
      <w:spacing w:val="-2"/>
      <w:sz w:val="20"/>
      <w:szCs w:val="24"/>
      <w:lang w:eastAsia="el-GR"/>
    </w:rPr>
  </w:style>
  <w:style w:type="table" w:customStyle="1" w:styleId="Calendar2">
    <w:name w:val="Calendar 2"/>
    <w:basedOn w:val="TableNormal"/>
    <w:uiPriority w:val="99"/>
    <w:qFormat/>
    <w:pPr>
      <w:spacing w:after="0" w:line="240" w:lineRule="auto"/>
      <w:jc w:val="center"/>
    </w:pPr>
    <w:rPr>
      <w:rFonts w:eastAsiaTheme="minorEastAsia"/>
      <w:sz w:val="28"/>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outlineLvl w:val="0"/>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ISAAHeading3">
    <w:name w:val="ISAA_Heading_3"/>
    <w:basedOn w:val="Heading2"/>
    <w:next w:val="ISAANormal"/>
    <w:autoRedefine/>
    <w:qFormat/>
    <w:pPr>
      <w:tabs>
        <w:tab w:val="clear" w:pos="1200"/>
      </w:tabs>
      <w:spacing w:before="120" w:after="120"/>
      <w:ind w:left="1985" w:hanging="1985"/>
      <w:jc w:val="left"/>
    </w:pPr>
    <w:rPr>
      <w:rFonts w:ascii="EC Square Sans Pro" w:hAnsi="EC Square Sans Pro"/>
      <w:i/>
      <w:noProof/>
      <w:sz w:val="20"/>
    </w:rPr>
  </w:style>
  <w:style w:type="paragraph" w:customStyle="1" w:styleId="Text1">
    <w:name w:val="Text 1"/>
    <w:basedOn w:val="Normal"/>
    <w:pPr>
      <w:spacing w:after="240"/>
      <w:ind w:left="482"/>
      <w:jc w:val="both"/>
    </w:pPr>
    <w:rPr>
      <w:rFonts w:ascii="Times New Roman" w:hAnsi="Times New Roman"/>
      <w:sz w:val="24"/>
      <w:szCs w:val="20"/>
    </w:rPr>
  </w:style>
  <w:style w:type="paragraph" w:styleId="ListBullet">
    <w:name w:val="List Bullet"/>
    <w:basedOn w:val="Normal"/>
    <w:uiPriority w:val="99"/>
    <w:unhideWhenUsed/>
    <w:pPr>
      <w:ind w:left="283" w:hanging="283"/>
    </w:pPr>
    <w:rPr>
      <w:rFonts w:ascii="Times New Roman" w:eastAsiaTheme="minorHAnsi" w:hAnsi="Times New Roman"/>
      <w:sz w:val="24"/>
      <w:szCs w:val="24"/>
    </w:rPr>
  </w:style>
  <w:style w:type="paragraph" w:customStyle="1" w:styleId="Briefingtext">
    <w:name w:val="Briefing text"/>
    <w:basedOn w:val="Normal"/>
    <w:link w:val="BriefingtextChar"/>
    <w:qFormat/>
    <w:pPr>
      <w:spacing w:after="240"/>
      <w:jc w:val="both"/>
    </w:pPr>
    <w:rPr>
      <w:rFonts w:ascii="Arial" w:hAnsi="Arial" w:cs="Arial"/>
      <w:szCs w:val="24"/>
    </w:rPr>
  </w:style>
  <w:style w:type="character" w:customStyle="1" w:styleId="BriefingtextChar">
    <w:name w:val="Briefing text Char"/>
    <w:link w:val="Briefingtext"/>
    <w:rPr>
      <w:rFonts w:ascii="Arial" w:eastAsia="Times New Roman" w:hAnsi="Arial" w:cs="Arial"/>
      <w:szCs w:val="24"/>
    </w:rPr>
  </w:style>
  <w:style w:type="character" w:customStyle="1" w:styleId="Corpsdutexte3NonGras">
    <w:name w:val="Corps du texte (3) + Non Gras"/>
    <w:uiPriority w:val="99"/>
    <w:rPr>
      <w:b w:val="0"/>
      <w:bCs w:val="0"/>
      <w:sz w:val="30"/>
      <w:szCs w:val="30"/>
      <w:shd w:val="clear" w:color="auto" w:fill="FFFFFF"/>
    </w:rPr>
  </w:style>
  <w:style w:type="character" w:customStyle="1" w:styleId="highlight">
    <w:name w:val="highlight"/>
    <w:basedOn w:val="DefaultParagraphFont"/>
  </w:style>
  <w:style w:type="paragraph" w:styleId="NoSpacing">
    <w:name w:val="No Spacing"/>
    <w:uiPriority w:val="1"/>
    <w:qFormat/>
    <w:pPr>
      <w:spacing w:after="0" w:line="240" w:lineRule="auto"/>
    </w:pPr>
  </w:style>
  <w:style w:type="character" w:styleId="Strong">
    <w:name w:val="Strong"/>
    <w:basedOn w:val="DefaultParagraphFont"/>
    <w:uiPriority w:val="22"/>
    <w:qFormat/>
    <w:rPr>
      <w:rFonts w:ascii="Times New Roman" w:hAnsi="Times New Roman" w:cs="Times New Roman" w:hint="default"/>
      <w:b/>
      <w:bCs/>
    </w:rPr>
  </w:style>
  <w:style w:type="paragraph" w:styleId="NormalWeb">
    <w:name w:val="Normal (Web)"/>
    <w:basedOn w:val="Normal"/>
    <w:uiPriority w:val="99"/>
    <w:semiHidden/>
    <w:unhideWhenUsed/>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9415">
      <w:bodyDiv w:val="1"/>
      <w:marLeft w:val="0"/>
      <w:marRight w:val="0"/>
      <w:marTop w:val="0"/>
      <w:marBottom w:val="0"/>
      <w:divBdr>
        <w:top w:val="none" w:sz="0" w:space="0" w:color="auto"/>
        <w:left w:val="none" w:sz="0" w:space="0" w:color="auto"/>
        <w:bottom w:val="none" w:sz="0" w:space="0" w:color="auto"/>
        <w:right w:val="none" w:sz="0" w:space="0" w:color="auto"/>
      </w:divBdr>
    </w:div>
    <w:div w:id="98069596">
      <w:bodyDiv w:val="1"/>
      <w:marLeft w:val="0"/>
      <w:marRight w:val="0"/>
      <w:marTop w:val="0"/>
      <w:marBottom w:val="0"/>
      <w:divBdr>
        <w:top w:val="none" w:sz="0" w:space="0" w:color="auto"/>
        <w:left w:val="none" w:sz="0" w:space="0" w:color="auto"/>
        <w:bottom w:val="none" w:sz="0" w:space="0" w:color="auto"/>
        <w:right w:val="none" w:sz="0" w:space="0" w:color="auto"/>
      </w:divBdr>
    </w:div>
    <w:div w:id="102187951">
      <w:bodyDiv w:val="1"/>
      <w:marLeft w:val="0"/>
      <w:marRight w:val="0"/>
      <w:marTop w:val="0"/>
      <w:marBottom w:val="0"/>
      <w:divBdr>
        <w:top w:val="none" w:sz="0" w:space="0" w:color="auto"/>
        <w:left w:val="none" w:sz="0" w:space="0" w:color="auto"/>
        <w:bottom w:val="none" w:sz="0" w:space="0" w:color="auto"/>
        <w:right w:val="none" w:sz="0" w:space="0" w:color="auto"/>
      </w:divBdr>
    </w:div>
    <w:div w:id="135341554">
      <w:bodyDiv w:val="1"/>
      <w:marLeft w:val="0"/>
      <w:marRight w:val="0"/>
      <w:marTop w:val="0"/>
      <w:marBottom w:val="0"/>
      <w:divBdr>
        <w:top w:val="none" w:sz="0" w:space="0" w:color="auto"/>
        <w:left w:val="none" w:sz="0" w:space="0" w:color="auto"/>
        <w:bottom w:val="none" w:sz="0" w:space="0" w:color="auto"/>
        <w:right w:val="none" w:sz="0" w:space="0" w:color="auto"/>
      </w:divBdr>
    </w:div>
    <w:div w:id="202450341">
      <w:bodyDiv w:val="1"/>
      <w:marLeft w:val="0"/>
      <w:marRight w:val="0"/>
      <w:marTop w:val="0"/>
      <w:marBottom w:val="0"/>
      <w:divBdr>
        <w:top w:val="none" w:sz="0" w:space="0" w:color="auto"/>
        <w:left w:val="none" w:sz="0" w:space="0" w:color="auto"/>
        <w:bottom w:val="none" w:sz="0" w:space="0" w:color="auto"/>
        <w:right w:val="none" w:sz="0" w:space="0" w:color="auto"/>
      </w:divBdr>
    </w:div>
    <w:div w:id="316425927">
      <w:bodyDiv w:val="1"/>
      <w:marLeft w:val="0"/>
      <w:marRight w:val="0"/>
      <w:marTop w:val="0"/>
      <w:marBottom w:val="0"/>
      <w:divBdr>
        <w:top w:val="none" w:sz="0" w:space="0" w:color="auto"/>
        <w:left w:val="none" w:sz="0" w:space="0" w:color="auto"/>
        <w:bottom w:val="none" w:sz="0" w:space="0" w:color="auto"/>
        <w:right w:val="none" w:sz="0" w:space="0" w:color="auto"/>
      </w:divBdr>
    </w:div>
    <w:div w:id="319233311">
      <w:bodyDiv w:val="1"/>
      <w:marLeft w:val="0"/>
      <w:marRight w:val="0"/>
      <w:marTop w:val="0"/>
      <w:marBottom w:val="0"/>
      <w:divBdr>
        <w:top w:val="none" w:sz="0" w:space="0" w:color="auto"/>
        <w:left w:val="none" w:sz="0" w:space="0" w:color="auto"/>
        <w:bottom w:val="none" w:sz="0" w:space="0" w:color="auto"/>
        <w:right w:val="none" w:sz="0" w:space="0" w:color="auto"/>
      </w:divBdr>
    </w:div>
    <w:div w:id="341007433">
      <w:bodyDiv w:val="1"/>
      <w:marLeft w:val="0"/>
      <w:marRight w:val="0"/>
      <w:marTop w:val="0"/>
      <w:marBottom w:val="0"/>
      <w:divBdr>
        <w:top w:val="none" w:sz="0" w:space="0" w:color="auto"/>
        <w:left w:val="none" w:sz="0" w:space="0" w:color="auto"/>
        <w:bottom w:val="none" w:sz="0" w:space="0" w:color="auto"/>
        <w:right w:val="none" w:sz="0" w:space="0" w:color="auto"/>
      </w:divBdr>
    </w:div>
    <w:div w:id="392120320">
      <w:bodyDiv w:val="1"/>
      <w:marLeft w:val="0"/>
      <w:marRight w:val="0"/>
      <w:marTop w:val="0"/>
      <w:marBottom w:val="0"/>
      <w:divBdr>
        <w:top w:val="none" w:sz="0" w:space="0" w:color="auto"/>
        <w:left w:val="none" w:sz="0" w:space="0" w:color="auto"/>
        <w:bottom w:val="none" w:sz="0" w:space="0" w:color="auto"/>
        <w:right w:val="none" w:sz="0" w:space="0" w:color="auto"/>
      </w:divBdr>
    </w:div>
    <w:div w:id="464275734">
      <w:bodyDiv w:val="1"/>
      <w:marLeft w:val="0"/>
      <w:marRight w:val="0"/>
      <w:marTop w:val="0"/>
      <w:marBottom w:val="0"/>
      <w:divBdr>
        <w:top w:val="none" w:sz="0" w:space="0" w:color="auto"/>
        <w:left w:val="none" w:sz="0" w:space="0" w:color="auto"/>
        <w:bottom w:val="none" w:sz="0" w:space="0" w:color="auto"/>
        <w:right w:val="none" w:sz="0" w:space="0" w:color="auto"/>
      </w:divBdr>
    </w:div>
    <w:div w:id="494226678">
      <w:bodyDiv w:val="1"/>
      <w:marLeft w:val="0"/>
      <w:marRight w:val="0"/>
      <w:marTop w:val="0"/>
      <w:marBottom w:val="0"/>
      <w:divBdr>
        <w:top w:val="none" w:sz="0" w:space="0" w:color="auto"/>
        <w:left w:val="none" w:sz="0" w:space="0" w:color="auto"/>
        <w:bottom w:val="none" w:sz="0" w:space="0" w:color="auto"/>
        <w:right w:val="none" w:sz="0" w:space="0" w:color="auto"/>
      </w:divBdr>
    </w:div>
    <w:div w:id="575624733">
      <w:bodyDiv w:val="1"/>
      <w:marLeft w:val="0"/>
      <w:marRight w:val="0"/>
      <w:marTop w:val="0"/>
      <w:marBottom w:val="0"/>
      <w:divBdr>
        <w:top w:val="none" w:sz="0" w:space="0" w:color="auto"/>
        <w:left w:val="none" w:sz="0" w:space="0" w:color="auto"/>
        <w:bottom w:val="none" w:sz="0" w:space="0" w:color="auto"/>
        <w:right w:val="none" w:sz="0" w:space="0" w:color="auto"/>
      </w:divBdr>
    </w:div>
    <w:div w:id="586882702">
      <w:bodyDiv w:val="1"/>
      <w:marLeft w:val="0"/>
      <w:marRight w:val="0"/>
      <w:marTop w:val="0"/>
      <w:marBottom w:val="0"/>
      <w:divBdr>
        <w:top w:val="none" w:sz="0" w:space="0" w:color="auto"/>
        <w:left w:val="none" w:sz="0" w:space="0" w:color="auto"/>
        <w:bottom w:val="none" w:sz="0" w:space="0" w:color="auto"/>
        <w:right w:val="none" w:sz="0" w:space="0" w:color="auto"/>
      </w:divBdr>
    </w:div>
    <w:div w:id="632488529">
      <w:bodyDiv w:val="1"/>
      <w:marLeft w:val="0"/>
      <w:marRight w:val="0"/>
      <w:marTop w:val="0"/>
      <w:marBottom w:val="0"/>
      <w:divBdr>
        <w:top w:val="none" w:sz="0" w:space="0" w:color="auto"/>
        <w:left w:val="none" w:sz="0" w:space="0" w:color="auto"/>
        <w:bottom w:val="none" w:sz="0" w:space="0" w:color="auto"/>
        <w:right w:val="none" w:sz="0" w:space="0" w:color="auto"/>
      </w:divBdr>
      <w:divsChild>
        <w:div w:id="2042051219">
          <w:marLeft w:val="0"/>
          <w:marRight w:val="0"/>
          <w:marTop w:val="0"/>
          <w:marBottom w:val="0"/>
          <w:divBdr>
            <w:top w:val="none" w:sz="0" w:space="0" w:color="auto"/>
            <w:left w:val="none" w:sz="0" w:space="0" w:color="auto"/>
            <w:bottom w:val="none" w:sz="0" w:space="0" w:color="auto"/>
            <w:right w:val="none" w:sz="0" w:space="0" w:color="auto"/>
          </w:divBdr>
          <w:divsChild>
            <w:div w:id="11843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5017">
      <w:bodyDiv w:val="1"/>
      <w:marLeft w:val="0"/>
      <w:marRight w:val="0"/>
      <w:marTop w:val="0"/>
      <w:marBottom w:val="0"/>
      <w:divBdr>
        <w:top w:val="none" w:sz="0" w:space="0" w:color="auto"/>
        <w:left w:val="none" w:sz="0" w:space="0" w:color="auto"/>
        <w:bottom w:val="none" w:sz="0" w:space="0" w:color="auto"/>
        <w:right w:val="none" w:sz="0" w:space="0" w:color="auto"/>
      </w:divBdr>
    </w:div>
    <w:div w:id="678384012">
      <w:bodyDiv w:val="1"/>
      <w:marLeft w:val="0"/>
      <w:marRight w:val="0"/>
      <w:marTop w:val="0"/>
      <w:marBottom w:val="0"/>
      <w:divBdr>
        <w:top w:val="none" w:sz="0" w:space="0" w:color="auto"/>
        <w:left w:val="none" w:sz="0" w:space="0" w:color="auto"/>
        <w:bottom w:val="none" w:sz="0" w:space="0" w:color="auto"/>
        <w:right w:val="none" w:sz="0" w:space="0" w:color="auto"/>
      </w:divBdr>
    </w:div>
    <w:div w:id="747578275">
      <w:bodyDiv w:val="1"/>
      <w:marLeft w:val="0"/>
      <w:marRight w:val="0"/>
      <w:marTop w:val="0"/>
      <w:marBottom w:val="0"/>
      <w:divBdr>
        <w:top w:val="none" w:sz="0" w:space="0" w:color="auto"/>
        <w:left w:val="none" w:sz="0" w:space="0" w:color="auto"/>
        <w:bottom w:val="none" w:sz="0" w:space="0" w:color="auto"/>
        <w:right w:val="none" w:sz="0" w:space="0" w:color="auto"/>
      </w:divBdr>
    </w:div>
    <w:div w:id="972753165">
      <w:bodyDiv w:val="1"/>
      <w:marLeft w:val="0"/>
      <w:marRight w:val="0"/>
      <w:marTop w:val="0"/>
      <w:marBottom w:val="0"/>
      <w:divBdr>
        <w:top w:val="none" w:sz="0" w:space="0" w:color="auto"/>
        <w:left w:val="none" w:sz="0" w:space="0" w:color="auto"/>
        <w:bottom w:val="none" w:sz="0" w:space="0" w:color="auto"/>
        <w:right w:val="none" w:sz="0" w:space="0" w:color="auto"/>
      </w:divBdr>
    </w:div>
    <w:div w:id="981808517">
      <w:bodyDiv w:val="1"/>
      <w:marLeft w:val="0"/>
      <w:marRight w:val="0"/>
      <w:marTop w:val="0"/>
      <w:marBottom w:val="0"/>
      <w:divBdr>
        <w:top w:val="none" w:sz="0" w:space="0" w:color="auto"/>
        <w:left w:val="none" w:sz="0" w:space="0" w:color="auto"/>
        <w:bottom w:val="none" w:sz="0" w:space="0" w:color="auto"/>
        <w:right w:val="none" w:sz="0" w:space="0" w:color="auto"/>
      </w:divBdr>
    </w:div>
    <w:div w:id="991711273">
      <w:bodyDiv w:val="1"/>
      <w:marLeft w:val="0"/>
      <w:marRight w:val="0"/>
      <w:marTop w:val="0"/>
      <w:marBottom w:val="0"/>
      <w:divBdr>
        <w:top w:val="none" w:sz="0" w:space="0" w:color="auto"/>
        <w:left w:val="none" w:sz="0" w:space="0" w:color="auto"/>
        <w:bottom w:val="none" w:sz="0" w:space="0" w:color="auto"/>
        <w:right w:val="none" w:sz="0" w:space="0" w:color="auto"/>
      </w:divBdr>
    </w:div>
    <w:div w:id="1064721757">
      <w:bodyDiv w:val="1"/>
      <w:marLeft w:val="0"/>
      <w:marRight w:val="0"/>
      <w:marTop w:val="0"/>
      <w:marBottom w:val="0"/>
      <w:divBdr>
        <w:top w:val="none" w:sz="0" w:space="0" w:color="auto"/>
        <w:left w:val="none" w:sz="0" w:space="0" w:color="auto"/>
        <w:bottom w:val="none" w:sz="0" w:space="0" w:color="auto"/>
        <w:right w:val="none" w:sz="0" w:space="0" w:color="auto"/>
      </w:divBdr>
    </w:div>
    <w:div w:id="1089615054">
      <w:bodyDiv w:val="1"/>
      <w:marLeft w:val="0"/>
      <w:marRight w:val="0"/>
      <w:marTop w:val="0"/>
      <w:marBottom w:val="0"/>
      <w:divBdr>
        <w:top w:val="none" w:sz="0" w:space="0" w:color="auto"/>
        <w:left w:val="none" w:sz="0" w:space="0" w:color="auto"/>
        <w:bottom w:val="none" w:sz="0" w:space="0" w:color="auto"/>
        <w:right w:val="none" w:sz="0" w:space="0" w:color="auto"/>
      </w:divBdr>
    </w:div>
    <w:div w:id="1101801491">
      <w:bodyDiv w:val="1"/>
      <w:marLeft w:val="0"/>
      <w:marRight w:val="0"/>
      <w:marTop w:val="0"/>
      <w:marBottom w:val="0"/>
      <w:divBdr>
        <w:top w:val="none" w:sz="0" w:space="0" w:color="auto"/>
        <w:left w:val="none" w:sz="0" w:space="0" w:color="auto"/>
        <w:bottom w:val="none" w:sz="0" w:space="0" w:color="auto"/>
        <w:right w:val="none" w:sz="0" w:space="0" w:color="auto"/>
      </w:divBdr>
    </w:div>
    <w:div w:id="1161197425">
      <w:bodyDiv w:val="1"/>
      <w:marLeft w:val="0"/>
      <w:marRight w:val="0"/>
      <w:marTop w:val="0"/>
      <w:marBottom w:val="0"/>
      <w:divBdr>
        <w:top w:val="none" w:sz="0" w:space="0" w:color="auto"/>
        <w:left w:val="none" w:sz="0" w:space="0" w:color="auto"/>
        <w:bottom w:val="none" w:sz="0" w:space="0" w:color="auto"/>
        <w:right w:val="none" w:sz="0" w:space="0" w:color="auto"/>
      </w:divBdr>
    </w:div>
    <w:div w:id="1471098388">
      <w:bodyDiv w:val="1"/>
      <w:marLeft w:val="0"/>
      <w:marRight w:val="0"/>
      <w:marTop w:val="0"/>
      <w:marBottom w:val="0"/>
      <w:divBdr>
        <w:top w:val="none" w:sz="0" w:space="0" w:color="auto"/>
        <w:left w:val="none" w:sz="0" w:space="0" w:color="auto"/>
        <w:bottom w:val="none" w:sz="0" w:space="0" w:color="auto"/>
        <w:right w:val="none" w:sz="0" w:space="0" w:color="auto"/>
      </w:divBdr>
    </w:div>
    <w:div w:id="1522428672">
      <w:bodyDiv w:val="1"/>
      <w:marLeft w:val="0"/>
      <w:marRight w:val="0"/>
      <w:marTop w:val="0"/>
      <w:marBottom w:val="0"/>
      <w:divBdr>
        <w:top w:val="none" w:sz="0" w:space="0" w:color="auto"/>
        <w:left w:val="none" w:sz="0" w:space="0" w:color="auto"/>
        <w:bottom w:val="none" w:sz="0" w:space="0" w:color="auto"/>
        <w:right w:val="none" w:sz="0" w:space="0" w:color="auto"/>
      </w:divBdr>
    </w:div>
    <w:div w:id="1549337347">
      <w:bodyDiv w:val="1"/>
      <w:marLeft w:val="0"/>
      <w:marRight w:val="0"/>
      <w:marTop w:val="0"/>
      <w:marBottom w:val="0"/>
      <w:divBdr>
        <w:top w:val="none" w:sz="0" w:space="0" w:color="auto"/>
        <w:left w:val="none" w:sz="0" w:space="0" w:color="auto"/>
        <w:bottom w:val="none" w:sz="0" w:space="0" w:color="auto"/>
        <w:right w:val="none" w:sz="0" w:space="0" w:color="auto"/>
      </w:divBdr>
    </w:div>
    <w:div w:id="1556890650">
      <w:bodyDiv w:val="1"/>
      <w:marLeft w:val="0"/>
      <w:marRight w:val="0"/>
      <w:marTop w:val="0"/>
      <w:marBottom w:val="0"/>
      <w:divBdr>
        <w:top w:val="none" w:sz="0" w:space="0" w:color="auto"/>
        <w:left w:val="none" w:sz="0" w:space="0" w:color="auto"/>
        <w:bottom w:val="none" w:sz="0" w:space="0" w:color="auto"/>
        <w:right w:val="none" w:sz="0" w:space="0" w:color="auto"/>
      </w:divBdr>
    </w:div>
    <w:div w:id="1622228930">
      <w:bodyDiv w:val="1"/>
      <w:marLeft w:val="0"/>
      <w:marRight w:val="0"/>
      <w:marTop w:val="0"/>
      <w:marBottom w:val="0"/>
      <w:divBdr>
        <w:top w:val="none" w:sz="0" w:space="0" w:color="auto"/>
        <w:left w:val="none" w:sz="0" w:space="0" w:color="auto"/>
        <w:bottom w:val="none" w:sz="0" w:space="0" w:color="auto"/>
        <w:right w:val="none" w:sz="0" w:space="0" w:color="auto"/>
      </w:divBdr>
    </w:div>
    <w:div w:id="1633486310">
      <w:bodyDiv w:val="1"/>
      <w:marLeft w:val="0"/>
      <w:marRight w:val="0"/>
      <w:marTop w:val="0"/>
      <w:marBottom w:val="0"/>
      <w:divBdr>
        <w:top w:val="none" w:sz="0" w:space="0" w:color="auto"/>
        <w:left w:val="none" w:sz="0" w:space="0" w:color="auto"/>
        <w:bottom w:val="none" w:sz="0" w:space="0" w:color="auto"/>
        <w:right w:val="none" w:sz="0" w:space="0" w:color="auto"/>
      </w:divBdr>
    </w:div>
    <w:div w:id="1657227854">
      <w:bodyDiv w:val="1"/>
      <w:marLeft w:val="0"/>
      <w:marRight w:val="0"/>
      <w:marTop w:val="0"/>
      <w:marBottom w:val="0"/>
      <w:divBdr>
        <w:top w:val="none" w:sz="0" w:space="0" w:color="auto"/>
        <w:left w:val="none" w:sz="0" w:space="0" w:color="auto"/>
        <w:bottom w:val="none" w:sz="0" w:space="0" w:color="auto"/>
        <w:right w:val="none" w:sz="0" w:space="0" w:color="auto"/>
      </w:divBdr>
    </w:div>
    <w:div w:id="1669167390">
      <w:bodyDiv w:val="1"/>
      <w:marLeft w:val="0"/>
      <w:marRight w:val="0"/>
      <w:marTop w:val="0"/>
      <w:marBottom w:val="0"/>
      <w:divBdr>
        <w:top w:val="none" w:sz="0" w:space="0" w:color="auto"/>
        <w:left w:val="none" w:sz="0" w:space="0" w:color="auto"/>
        <w:bottom w:val="none" w:sz="0" w:space="0" w:color="auto"/>
        <w:right w:val="none" w:sz="0" w:space="0" w:color="auto"/>
      </w:divBdr>
      <w:divsChild>
        <w:div w:id="335573264">
          <w:marLeft w:val="1166"/>
          <w:marRight w:val="0"/>
          <w:marTop w:val="67"/>
          <w:marBottom w:val="0"/>
          <w:divBdr>
            <w:top w:val="none" w:sz="0" w:space="0" w:color="auto"/>
            <w:left w:val="none" w:sz="0" w:space="0" w:color="auto"/>
            <w:bottom w:val="none" w:sz="0" w:space="0" w:color="auto"/>
            <w:right w:val="none" w:sz="0" w:space="0" w:color="auto"/>
          </w:divBdr>
        </w:div>
        <w:div w:id="918297041">
          <w:marLeft w:val="1166"/>
          <w:marRight w:val="0"/>
          <w:marTop w:val="67"/>
          <w:marBottom w:val="0"/>
          <w:divBdr>
            <w:top w:val="none" w:sz="0" w:space="0" w:color="auto"/>
            <w:left w:val="none" w:sz="0" w:space="0" w:color="auto"/>
            <w:bottom w:val="none" w:sz="0" w:space="0" w:color="auto"/>
            <w:right w:val="none" w:sz="0" w:space="0" w:color="auto"/>
          </w:divBdr>
        </w:div>
        <w:div w:id="1047606675">
          <w:marLeft w:val="1166"/>
          <w:marRight w:val="0"/>
          <w:marTop w:val="67"/>
          <w:marBottom w:val="0"/>
          <w:divBdr>
            <w:top w:val="none" w:sz="0" w:space="0" w:color="auto"/>
            <w:left w:val="none" w:sz="0" w:space="0" w:color="auto"/>
            <w:bottom w:val="none" w:sz="0" w:space="0" w:color="auto"/>
            <w:right w:val="none" w:sz="0" w:space="0" w:color="auto"/>
          </w:divBdr>
        </w:div>
        <w:div w:id="1065641060">
          <w:marLeft w:val="1166"/>
          <w:marRight w:val="0"/>
          <w:marTop w:val="67"/>
          <w:marBottom w:val="0"/>
          <w:divBdr>
            <w:top w:val="none" w:sz="0" w:space="0" w:color="auto"/>
            <w:left w:val="none" w:sz="0" w:space="0" w:color="auto"/>
            <w:bottom w:val="none" w:sz="0" w:space="0" w:color="auto"/>
            <w:right w:val="none" w:sz="0" w:space="0" w:color="auto"/>
          </w:divBdr>
        </w:div>
        <w:div w:id="1513106917">
          <w:marLeft w:val="1166"/>
          <w:marRight w:val="0"/>
          <w:marTop w:val="67"/>
          <w:marBottom w:val="0"/>
          <w:divBdr>
            <w:top w:val="none" w:sz="0" w:space="0" w:color="auto"/>
            <w:left w:val="none" w:sz="0" w:space="0" w:color="auto"/>
            <w:bottom w:val="none" w:sz="0" w:space="0" w:color="auto"/>
            <w:right w:val="none" w:sz="0" w:space="0" w:color="auto"/>
          </w:divBdr>
        </w:div>
      </w:divsChild>
    </w:div>
    <w:div w:id="1697539924">
      <w:bodyDiv w:val="1"/>
      <w:marLeft w:val="0"/>
      <w:marRight w:val="0"/>
      <w:marTop w:val="0"/>
      <w:marBottom w:val="0"/>
      <w:divBdr>
        <w:top w:val="none" w:sz="0" w:space="0" w:color="auto"/>
        <w:left w:val="none" w:sz="0" w:space="0" w:color="auto"/>
        <w:bottom w:val="none" w:sz="0" w:space="0" w:color="auto"/>
        <w:right w:val="none" w:sz="0" w:space="0" w:color="auto"/>
      </w:divBdr>
    </w:div>
    <w:div w:id="1702588742">
      <w:bodyDiv w:val="1"/>
      <w:marLeft w:val="0"/>
      <w:marRight w:val="0"/>
      <w:marTop w:val="0"/>
      <w:marBottom w:val="0"/>
      <w:divBdr>
        <w:top w:val="none" w:sz="0" w:space="0" w:color="auto"/>
        <w:left w:val="none" w:sz="0" w:space="0" w:color="auto"/>
        <w:bottom w:val="none" w:sz="0" w:space="0" w:color="auto"/>
        <w:right w:val="none" w:sz="0" w:space="0" w:color="auto"/>
      </w:divBdr>
    </w:div>
    <w:div w:id="1712025362">
      <w:bodyDiv w:val="1"/>
      <w:marLeft w:val="0"/>
      <w:marRight w:val="0"/>
      <w:marTop w:val="0"/>
      <w:marBottom w:val="0"/>
      <w:divBdr>
        <w:top w:val="none" w:sz="0" w:space="0" w:color="auto"/>
        <w:left w:val="none" w:sz="0" w:space="0" w:color="auto"/>
        <w:bottom w:val="none" w:sz="0" w:space="0" w:color="auto"/>
        <w:right w:val="none" w:sz="0" w:space="0" w:color="auto"/>
      </w:divBdr>
    </w:div>
    <w:div w:id="1746299830">
      <w:bodyDiv w:val="1"/>
      <w:marLeft w:val="0"/>
      <w:marRight w:val="0"/>
      <w:marTop w:val="0"/>
      <w:marBottom w:val="0"/>
      <w:divBdr>
        <w:top w:val="none" w:sz="0" w:space="0" w:color="auto"/>
        <w:left w:val="none" w:sz="0" w:space="0" w:color="auto"/>
        <w:bottom w:val="none" w:sz="0" w:space="0" w:color="auto"/>
        <w:right w:val="none" w:sz="0" w:space="0" w:color="auto"/>
      </w:divBdr>
    </w:div>
    <w:div w:id="1754861555">
      <w:bodyDiv w:val="1"/>
      <w:marLeft w:val="0"/>
      <w:marRight w:val="0"/>
      <w:marTop w:val="0"/>
      <w:marBottom w:val="0"/>
      <w:divBdr>
        <w:top w:val="none" w:sz="0" w:space="0" w:color="auto"/>
        <w:left w:val="none" w:sz="0" w:space="0" w:color="auto"/>
        <w:bottom w:val="none" w:sz="0" w:space="0" w:color="auto"/>
        <w:right w:val="none" w:sz="0" w:space="0" w:color="auto"/>
      </w:divBdr>
    </w:div>
    <w:div w:id="1775325093">
      <w:bodyDiv w:val="1"/>
      <w:marLeft w:val="0"/>
      <w:marRight w:val="0"/>
      <w:marTop w:val="0"/>
      <w:marBottom w:val="0"/>
      <w:divBdr>
        <w:top w:val="none" w:sz="0" w:space="0" w:color="auto"/>
        <w:left w:val="none" w:sz="0" w:space="0" w:color="auto"/>
        <w:bottom w:val="none" w:sz="0" w:space="0" w:color="auto"/>
        <w:right w:val="none" w:sz="0" w:space="0" w:color="auto"/>
      </w:divBdr>
    </w:div>
    <w:div w:id="1782724110">
      <w:bodyDiv w:val="1"/>
      <w:marLeft w:val="0"/>
      <w:marRight w:val="0"/>
      <w:marTop w:val="0"/>
      <w:marBottom w:val="0"/>
      <w:divBdr>
        <w:top w:val="none" w:sz="0" w:space="0" w:color="auto"/>
        <w:left w:val="none" w:sz="0" w:space="0" w:color="auto"/>
        <w:bottom w:val="none" w:sz="0" w:space="0" w:color="auto"/>
        <w:right w:val="none" w:sz="0" w:space="0" w:color="auto"/>
      </w:divBdr>
    </w:div>
    <w:div w:id="1805584964">
      <w:bodyDiv w:val="1"/>
      <w:marLeft w:val="0"/>
      <w:marRight w:val="0"/>
      <w:marTop w:val="0"/>
      <w:marBottom w:val="0"/>
      <w:divBdr>
        <w:top w:val="none" w:sz="0" w:space="0" w:color="auto"/>
        <w:left w:val="none" w:sz="0" w:space="0" w:color="auto"/>
        <w:bottom w:val="none" w:sz="0" w:space="0" w:color="auto"/>
        <w:right w:val="none" w:sz="0" w:space="0" w:color="auto"/>
      </w:divBdr>
    </w:div>
    <w:div w:id="1860583864">
      <w:bodyDiv w:val="1"/>
      <w:marLeft w:val="0"/>
      <w:marRight w:val="0"/>
      <w:marTop w:val="0"/>
      <w:marBottom w:val="0"/>
      <w:divBdr>
        <w:top w:val="none" w:sz="0" w:space="0" w:color="auto"/>
        <w:left w:val="none" w:sz="0" w:space="0" w:color="auto"/>
        <w:bottom w:val="none" w:sz="0" w:space="0" w:color="auto"/>
        <w:right w:val="none" w:sz="0" w:space="0" w:color="auto"/>
      </w:divBdr>
    </w:div>
    <w:div w:id="1905484172">
      <w:bodyDiv w:val="1"/>
      <w:marLeft w:val="0"/>
      <w:marRight w:val="0"/>
      <w:marTop w:val="0"/>
      <w:marBottom w:val="0"/>
      <w:divBdr>
        <w:top w:val="none" w:sz="0" w:space="0" w:color="auto"/>
        <w:left w:val="none" w:sz="0" w:space="0" w:color="auto"/>
        <w:bottom w:val="none" w:sz="0" w:space="0" w:color="auto"/>
        <w:right w:val="none" w:sz="0" w:space="0" w:color="auto"/>
      </w:divBdr>
    </w:div>
    <w:div w:id="1934851526">
      <w:bodyDiv w:val="1"/>
      <w:marLeft w:val="0"/>
      <w:marRight w:val="0"/>
      <w:marTop w:val="0"/>
      <w:marBottom w:val="0"/>
      <w:divBdr>
        <w:top w:val="none" w:sz="0" w:space="0" w:color="auto"/>
        <w:left w:val="none" w:sz="0" w:space="0" w:color="auto"/>
        <w:bottom w:val="none" w:sz="0" w:space="0" w:color="auto"/>
        <w:right w:val="none" w:sz="0" w:space="0" w:color="auto"/>
      </w:divBdr>
    </w:div>
    <w:div w:id="1948809239">
      <w:bodyDiv w:val="1"/>
      <w:marLeft w:val="0"/>
      <w:marRight w:val="0"/>
      <w:marTop w:val="0"/>
      <w:marBottom w:val="0"/>
      <w:divBdr>
        <w:top w:val="none" w:sz="0" w:space="0" w:color="auto"/>
        <w:left w:val="none" w:sz="0" w:space="0" w:color="auto"/>
        <w:bottom w:val="none" w:sz="0" w:space="0" w:color="auto"/>
        <w:right w:val="none" w:sz="0" w:space="0" w:color="auto"/>
      </w:divBdr>
    </w:div>
    <w:div w:id="1952665825">
      <w:bodyDiv w:val="1"/>
      <w:marLeft w:val="0"/>
      <w:marRight w:val="0"/>
      <w:marTop w:val="0"/>
      <w:marBottom w:val="0"/>
      <w:divBdr>
        <w:top w:val="none" w:sz="0" w:space="0" w:color="auto"/>
        <w:left w:val="none" w:sz="0" w:space="0" w:color="auto"/>
        <w:bottom w:val="none" w:sz="0" w:space="0" w:color="auto"/>
        <w:right w:val="none" w:sz="0" w:space="0" w:color="auto"/>
      </w:divBdr>
      <w:divsChild>
        <w:div w:id="1859343179">
          <w:marLeft w:val="0"/>
          <w:marRight w:val="0"/>
          <w:marTop w:val="0"/>
          <w:marBottom w:val="0"/>
          <w:divBdr>
            <w:top w:val="none" w:sz="0" w:space="0" w:color="auto"/>
            <w:left w:val="none" w:sz="0" w:space="0" w:color="auto"/>
            <w:bottom w:val="none" w:sz="0" w:space="0" w:color="auto"/>
            <w:right w:val="none" w:sz="0" w:space="0" w:color="auto"/>
          </w:divBdr>
          <w:divsChild>
            <w:div w:id="860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720">
      <w:bodyDiv w:val="1"/>
      <w:marLeft w:val="0"/>
      <w:marRight w:val="0"/>
      <w:marTop w:val="0"/>
      <w:marBottom w:val="0"/>
      <w:divBdr>
        <w:top w:val="none" w:sz="0" w:space="0" w:color="auto"/>
        <w:left w:val="none" w:sz="0" w:space="0" w:color="auto"/>
        <w:bottom w:val="none" w:sz="0" w:space="0" w:color="auto"/>
        <w:right w:val="none" w:sz="0" w:space="0" w:color="auto"/>
      </w:divBdr>
    </w:div>
    <w:div w:id="1978610293">
      <w:bodyDiv w:val="1"/>
      <w:marLeft w:val="0"/>
      <w:marRight w:val="0"/>
      <w:marTop w:val="0"/>
      <w:marBottom w:val="0"/>
      <w:divBdr>
        <w:top w:val="none" w:sz="0" w:space="0" w:color="auto"/>
        <w:left w:val="none" w:sz="0" w:space="0" w:color="auto"/>
        <w:bottom w:val="none" w:sz="0" w:space="0" w:color="auto"/>
        <w:right w:val="none" w:sz="0" w:space="0" w:color="auto"/>
      </w:divBdr>
    </w:div>
    <w:div w:id="1993899586">
      <w:bodyDiv w:val="1"/>
      <w:marLeft w:val="0"/>
      <w:marRight w:val="0"/>
      <w:marTop w:val="0"/>
      <w:marBottom w:val="0"/>
      <w:divBdr>
        <w:top w:val="none" w:sz="0" w:space="0" w:color="auto"/>
        <w:left w:val="none" w:sz="0" w:space="0" w:color="auto"/>
        <w:bottom w:val="none" w:sz="0" w:space="0" w:color="auto"/>
        <w:right w:val="none" w:sz="0" w:space="0" w:color="auto"/>
      </w:divBdr>
    </w:div>
    <w:div w:id="2004776945">
      <w:bodyDiv w:val="1"/>
      <w:marLeft w:val="0"/>
      <w:marRight w:val="0"/>
      <w:marTop w:val="0"/>
      <w:marBottom w:val="0"/>
      <w:divBdr>
        <w:top w:val="none" w:sz="0" w:space="0" w:color="auto"/>
        <w:left w:val="none" w:sz="0" w:space="0" w:color="auto"/>
        <w:bottom w:val="none" w:sz="0" w:space="0" w:color="auto"/>
        <w:right w:val="none" w:sz="0" w:space="0" w:color="auto"/>
      </w:divBdr>
    </w:div>
    <w:div w:id="2021735325">
      <w:bodyDiv w:val="1"/>
      <w:marLeft w:val="0"/>
      <w:marRight w:val="0"/>
      <w:marTop w:val="0"/>
      <w:marBottom w:val="0"/>
      <w:divBdr>
        <w:top w:val="none" w:sz="0" w:space="0" w:color="auto"/>
        <w:left w:val="none" w:sz="0" w:space="0" w:color="auto"/>
        <w:bottom w:val="none" w:sz="0" w:space="0" w:color="auto"/>
        <w:right w:val="none" w:sz="0" w:space="0" w:color="auto"/>
      </w:divBdr>
      <w:divsChild>
        <w:div w:id="148711203">
          <w:marLeft w:val="0"/>
          <w:marRight w:val="0"/>
          <w:marTop w:val="0"/>
          <w:marBottom w:val="0"/>
          <w:divBdr>
            <w:top w:val="none" w:sz="0" w:space="0" w:color="auto"/>
            <w:left w:val="none" w:sz="0" w:space="0" w:color="auto"/>
            <w:bottom w:val="none" w:sz="0" w:space="0" w:color="auto"/>
            <w:right w:val="none" w:sz="0" w:space="0" w:color="auto"/>
          </w:divBdr>
        </w:div>
        <w:div w:id="222062079">
          <w:marLeft w:val="0"/>
          <w:marRight w:val="0"/>
          <w:marTop w:val="0"/>
          <w:marBottom w:val="0"/>
          <w:divBdr>
            <w:top w:val="none" w:sz="0" w:space="0" w:color="auto"/>
            <w:left w:val="none" w:sz="0" w:space="0" w:color="auto"/>
            <w:bottom w:val="none" w:sz="0" w:space="0" w:color="auto"/>
            <w:right w:val="none" w:sz="0" w:space="0" w:color="auto"/>
          </w:divBdr>
        </w:div>
        <w:div w:id="1928076199">
          <w:marLeft w:val="0"/>
          <w:marRight w:val="0"/>
          <w:marTop w:val="0"/>
          <w:marBottom w:val="0"/>
          <w:divBdr>
            <w:top w:val="none" w:sz="0" w:space="0" w:color="auto"/>
            <w:left w:val="none" w:sz="0" w:space="0" w:color="auto"/>
            <w:bottom w:val="none" w:sz="0" w:space="0" w:color="auto"/>
            <w:right w:val="none" w:sz="0" w:space="0" w:color="auto"/>
          </w:divBdr>
        </w:div>
        <w:div w:id="2020349116">
          <w:marLeft w:val="0"/>
          <w:marRight w:val="0"/>
          <w:marTop w:val="0"/>
          <w:marBottom w:val="0"/>
          <w:divBdr>
            <w:top w:val="none" w:sz="0" w:space="0" w:color="auto"/>
            <w:left w:val="none" w:sz="0" w:space="0" w:color="auto"/>
            <w:bottom w:val="none" w:sz="0" w:space="0" w:color="auto"/>
            <w:right w:val="none" w:sz="0" w:space="0" w:color="auto"/>
          </w:divBdr>
        </w:div>
      </w:divsChild>
    </w:div>
    <w:div w:id="2045665906">
      <w:bodyDiv w:val="1"/>
      <w:marLeft w:val="0"/>
      <w:marRight w:val="0"/>
      <w:marTop w:val="0"/>
      <w:marBottom w:val="0"/>
      <w:divBdr>
        <w:top w:val="none" w:sz="0" w:space="0" w:color="auto"/>
        <w:left w:val="none" w:sz="0" w:space="0" w:color="auto"/>
        <w:bottom w:val="none" w:sz="0" w:space="0" w:color="auto"/>
        <w:right w:val="none" w:sz="0" w:space="0" w:color="auto"/>
      </w:divBdr>
    </w:div>
    <w:div w:id="2097360962">
      <w:bodyDiv w:val="1"/>
      <w:marLeft w:val="0"/>
      <w:marRight w:val="0"/>
      <w:marTop w:val="0"/>
      <w:marBottom w:val="0"/>
      <w:divBdr>
        <w:top w:val="none" w:sz="0" w:space="0" w:color="auto"/>
        <w:left w:val="none" w:sz="0" w:space="0" w:color="auto"/>
        <w:bottom w:val="none" w:sz="0" w:space="0" w:color="auto"/>
        <w:right w:val="none" w:sz="0" w:space="0" w:color="auto"/>
      </w:divBdr>
    </w:div>
    <w:div w:id="21133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573FC0C-7C8E-4FBE-A3C5-233F4930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9447</Words>
  <Characters>54983</Characters>
  <Application>Microsoft Office Word</Application>
  <DocSecurity>0</DocSecurity>
  <Lines>931</Lines>
  <Paragraphs>154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2019-03-01T15:45:00Z</dcterms:created>
  <dcterms:modified xsi:type="dcterms:W3CDTF">2019-03-12T15:31:00Z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Crea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ies>
</file>